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2.0 -->
  <w:body>
    <w:p>
      <w:pPr>
        <w:pStyle w:val="BodyText"/>
        <w:rPr>
          <w:sz w:val="28"/>
        </w:rPr>
      </w:pPr>
    </w:p>
    <w:p>
      <w:pPr>
        <w:pStyle w:val="BodyText"/>
        <w:rPr>
          <w:sz w:val="28"/>
        </w:rPr>
      </w:pPr>
    </w:p>
    <w:p>
      <w:pPr>
        <w:pStyle w:val="BodyText"/>
        <w:rPr>
          <w:sz w:val="28"/>
        </w:rPr>
      </w:pPr>
    </w:p>
    <w:p>
      <w:pPr>
        <w:pStyle w:val="BodyText"/>
        <w:rPr>
          <w:sz w:val="28"/>
        </w:rPr>
      </w:pPr>
    </w:p>
    <w:p>
      <w:pPr>
        <w:pStyle w:val="BodyText"/>
        <w:spacing w:before="71"/>
        <w:rPr>
          <w:sz w:val="28"/>
        </w:rPr>
      </w:pPr>
    </w:p>
    <w:p>
      <w:pPr>
        <w:pStyle w:val="Heading1"/>
        <w:spacing w:line="252" w:lineRule="auto"/>
      </w:pPr>
      <w:r>
        <mc:AlternateContent>
          <mc:Choice Requires="wps">
            <w:drawing>
              <wp:anchor distT="0" distB="0" distL="0" distR="0" simplePos="0" relativeHeight="251662336" behindDoc="0" locked="0" layoutInCell="1" allowOverlap="1">
                <wp:simplePos x="0" y="0"/>
                <wp:positionH relativeFrom="page">
                  <wp:posOffset>9143</wp:posOffset>
                </wp:positionH>
                <wp:positionV relativeFrom="paragraph">
                  <wp:posOffset>213319</wp:posOffset>
                </wp:positionV>
                <wp:extent cx="1278890" cy="1559560"/>
                <wp:effectExtent l="0" t="0" r="0" b="0"/>
                <wp:wrapNone/>
                <wp:docPr id="1" name="Textbox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278890" cy="1559560"/>
                        </a:xfrm>
                        <a:prstGeom prst="rect">
                          <a:avLst/>
                        </a:prstGeom>
                        <a:solidFill>
                          <a:srgbClr val="DBD8D6"/>
                        </a:solidFill>
                      </wps:spPr>
                      <wps:txbx>
                        <w:txbxContent>
                          <w:p>
                            <w:pPr>
                              <w:spacing w:before="40" w:line="259" w:lineRule="auto"/>
                              <w:ind w:left="38" w:right="0" w:firstLine="0"/>
                              <w:jc w:val="left"/>
                              <w:rPr>
                                <w:sz w:val="16"/>
                              </w:rPr>
                            </w:pPr>
                            <w:r>
                              <w:rPr>
                                <w:w w:val="110"/>
                                <w:sz w:val="15"/>
                              </w:rPr>
                              <w:t>Per</w:t>
                            </w:r>
                            <w:r>
                              <w:rPr>
                                <w:b/>
                                <w:color w:val="3382A8"/>
                                <w:w w:val="110"/>
                                <w:sz w:val="15"/>
                              </w:rPr>
                              <w:t xml:space="preserve"> investimento sostenibile </w:t>
                            </w:r>
                            <w:r>
                              <w:rPr>
                                <w:w w:val="110"/>
                                <w:sz w:val="15"/>
                              </w:rPr>
                              <w:t>si intende un investimento in un’attività economica che contribuisca al raggiungimento di un obiettivo ambientale o sociale, a condizione che l’investimento non arrechi un danno significativo a nessun obiettivo ambientale o sociale e che le società beneficiarie dell’investimento seguano buone pratiche di governance.</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1025" type="#_x0000_t202" style="width:100.7pt;height:122.8pt;margin-top:16.8pt;margin-left:0.72pt;mso-position-horizontal-relative:page;position:absolute;z-index:251663360" filled="t" fillcolor="#dbd8d6" stroked="f">
                <v:fill type="solid"/>
                <v:textbox inset="0,0,0,0">
                  <w:txbxContent>
                    <w:p>
                      <w:pPr>
                        <w:spacing w:before="40" w:line="259" w:lineRule="auto"/>
                        <w:ind w:left="38" w:right="0" w:firstLine="0"/>
                        <w:jc w:val="left"/>
                        <w:rPr>
                          <w:sz w:val="16"/>
                        </w:rPr>
                      </w:pPr>
                      <w:r>
                        <w:rPr>
                          <w:w w:val="110"/>
                          <w:sz w:val="16"/>
                        </w:rPr>
                        <w:t>Per</w:t>
                      </w:r>
                      <w:r>
                        <w:rPr>
                          <w:b/>
                          <w:color w:val="3382A8"/>
                          <w:w w:val="110"/>
                          <w:sz w:val="16"/>
                        </w:rPr>
                        <w:t xml:space="preserve"> «investimento sostenibile» </w:t>
                      </w:r>
                      <w:r>
                        <w:rPr>
                          <w:w w:val="110"/>
                          <w:sz w:val="16"/>
                        </w:rPr>
                        <w:t>si intende un investimento in un’attività economica che contribuisca al raggiungimento di un obiettivo ambientale o sociale, a condizione che l’investimento non arrechi un danno significativo a nessun obiettivo ambientale o sociale e che le società beneficiarie dell’investimento seguano buone pratiche di governance.</w:t>
                      </w:r>
                    </w:p>
                  </w:txbxContent>
                </v:textbox>
              </v:shape>
            </w:pict>
          </mc:Fallback>
        </mc:AlternateContent>
      </w:r>
      <w:r>
        <w:rPr>
          <w:w w:val="105"/>
          <w:sz w:val="26"/>
        </w:rPr>
        <w:t>Informazioni precontrattuali relative ai prodotti finanziari di cui all’articolo 8, paragrafi 1, 2 e 2-bis, del regolamento (UE) 2019/2088 e all’articolo 6, primo comma, del regolamento (UE) 2020/852</w:t>
      </w:r>
    </w:p>
    <w:p>
      <w:pPr>
        <w:pStyle w:val="Heading1"/>
        <w:spacing w:after="0" w:line="252" w:lineRule="auto"/>
        <w:sectPr>
          <w:type w:val="continuous"/>
          <w:pgSz w:w="11910" w:h="16840"/>
          <w:pgMar w:top="0" w:right="708" w:bottom="280" w:left="0" w:header="708" w:footer="708"/>
          <w:cols w:space="708"/>
        </w:sectPr>
      </w:pPr>
    </w:p>
    <w:p>
      <w:pPr>
        <w:spacing w:before="81"/>
        <w:ind w:left="2325" w:right="0" w:firstLine="0"/>
        <w:jc w:val="left"/>
        <w:rPr>
          <w:b/>
          <w:sz w:val="22"/>
        </w:rPr>
      </w:pPr>
      <w:r>
        <w:rPr>
          <w:b/>
          <w:sz w:val="20"/>
        </w:rPr>
        <w:t>Nome del prodotto:</w:t>
      </w:r>
    </w:p>
    <w:p>
      <w:pPr>
        <w:spacing w:before="11"/>
        <w:ind w:left="2325" w:right="0" w:firstLine="0"/>
        <w:jc w:val="left"/>
        <w:rPr>
          <w:b/>
          <w:sz w:val="22"/>
        </w:rPr>
      </w:pPr>
      <w:r>
        <w:rPr>
          <w:b/>
          <w:color w:val="1A365D"/>
          <w:sz w:val="20"/>
        </w:rPr>
        <w:t>Wellington Euro High Yield Bond Fund</w:t>
      </w:r>
    </w:p>
    <w:p>
      <w:pPr>
        <w:spacing w:before="76" w:line="252" w:lineRule="auto"/>
        <w:ind w:left="1926" w:right="136" w:firstLine="520"/>
        <w:jc w:val="left"/>
        <w:rPr>
          <w:b/>
          <w:sz w:val="22"/>
        </w:rPr>
      </w:pPr>
      <w:r>
        <w:rPr>
          <w:sz w:val="20"/>
        </w:rPr>
        <w:br w:type="column"/>
      </w:r>
      <w:r>
        <w:rPr>
          <w:b/>
          <w:w w:val="105"/>
          <w:sz w:val="20"/>
        </w:rPr>
        <w:t>Identificativo della persona giuridica:</w:t>
      </w:r>
      <w:r>
        <w:rPr>
          <w:b/>
          <w:color w:val="1A365D"/>
          <w:spacing w:val="-2"/>
          <w:sz w:val="20"/>
        </w:rPr>
        <w:t xml:space="preserve"> 549300CPM6LQIQPQTM10</w:t>
      </w:r>
    </w:p>
    <w:p>
      <w:pPr>
        <w:spacing w:after="0" w:line="252" w:lineRule="auto"/>
        <w:jc w:val="left"/>
        <w:rPr>
          <w:b/>
          <w:sz w:val="22"/>
        </w:rPr>
        <w:sectPr>
          <w:type w:val="continuous"/>
          <w:pgSz w:w="11910" w:h="16840"/>
          <w:pgMar w:top="0" w:right="708" w:bottom="280" w:left="0" w:header="708" w:footer="708"/>
          <w:cols w:num="2" w:space="708" w:equalWidth="0">
            <w:col w:w="6316" w:space="40"/>
            <w:col w:w="4846" w:space="0"/>
          </w:cols>
        </w:sectPr>
      </w:pPr>
    </w:p>
    <w:p>
      <w:pPr>
        <w:pStyle w:val="BodyText"/>
        <w:spacing w:before="68"/>
        <w:rPr>
          <w:b/>
          <w:sz w:val="32"/>
        </w:rPr>
      </w:pPr>
    </w:p>
    <w:p>
      <w:pPr>
        <w:pStyle w:val="Title"/>
      </w:pPr>
      <w:r>
        <mc:AlternateContent>
          <mc:Choice Requires="wps">
            <w:drawing>
              <wp:anchor distT="0" distB="0" distL="0" distR="0" simplePos="0" relativeHeight="251685888" behindDoc="1" locked="0" layoutInCell="1" allowOverlap="1">
                <wp:simplePos x="0" y="0"/>
                <wp:positionH relativeFrom="page">
                  <wp:posOffset>1863852</wp:posOffset>
                </wp:positionH>
                <wp:positionV relativeFrom="paragraph">
                  <wp:posOffset>592898</wp:posOffset>
                </wp:positionV>
                <wp:extent cx="90170" cy="91440"/>
                <wp:effectExtent l="0" t="0" r="0" b="0"/>
                <wp:wrapNone/>
                <wp:docPr id="2" name="Graphic 2"/>
                <wp:cNvGraphicFramePr/>
                <a:graphic xmlns:a="http://schemas.openxmlformats.org/drawingml/2006/main">
                  <a:graphicData uri="http://schemas.microsoft.com/office/word/2010/wordprocessingShape">
                    <wps:wsp xmlns:wps="http://schemas.microsoft.com/office/word/2010/wordprocessingShape">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FFFFFF"/>
                        </a:solidFill>
                      </wps:spPr>
                      <wps:bodyPr wrap="square" lIns="0" tIns="0" rIns="0" bIns="0" rtlCol="0">
                        <a:prstTxWarp prst="textNoShape">
                          <a:avLst/>
                        </a:prstTxWarp>
                      </wps:bodyPr>
                    </wps:wsp>
                  </a:graphicData>
                </a:graphic>
              </wp:anchor>
            </w:drawing>
          </mc:Choice>
          <mc:Fallback>
            <w:pict>
              <v:shape id="_x0000_s1026" style="width:7.1pt;height:7.2pt;margin-top:46.68pt;margin-left:146.76pt;mso-position-horizontal-relative:page;position:absolute;z-index:-251629568" coordorigin="2935,934" coordsize="142,144" path="m3077,934l3060,934,3060,950,3060,1060,2952,1060,2952,950,3060,950,3060,934,2935,934,2935,950,2935,1060,2935,1078,3077,1078,3077,1060,3077,1060,3077,950,3077,934xe" filled="t" fillcolor="white" stroked="f">
                <v:fill type="solid"/>
                <v:path arrowok="t"/>
              </v:shape>
            </w:pict>
          </mc:Fallback>
        </mc:AlternateContent>
      </w:r>
      <w:r>
        <mc:AlternateContent>
          <mc:Choice Requires="wps">
            <w:drawing>
              <wp:anchor distT="0" distB="0" distL="0" distR="0" simplePos="0" relativeHeight="251687936" behindDoc="1" locked="0" layoutInCell="1" allowOverlap="1">
                <wp:simplePos x="0" y="0"/>
                <wp:positionH relativeFrom="page">
                  <wp:posOffset>1491983</wp:posOffset>
                </wp:positionH>
                <wp:positionV relativeFrom="paragraph">
                  <wp:posOffset>1155254</wp:posOffset>
                </wp:positionV>
                <wp:extent cx="90170" cy="91440"/>
                <wp:effectExtent l="0" t="0" r="0" b="0"/>
                <wp:wrapNone/>
                <wp:docPr id="3" name="Graphic 3"/>
                <wp:cNvGraphicFramePr/>
                <a:graphic xmlns:a="http://schemas.openxmlformats.org/drawingml/2006/main">
                  <a:graphicData uri="http://schemas.microsoft.com/office/word/2010/wordprocessingShape">
                    <wps:wsp xmlns:wps="http://schemas.microsoft.com/office/word/2010/wordprocessingShape">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_x0000_s1027" style="width:7.1pt;height:7.2pt;margin-top:90.96pt;margin-left:117.48pt;mso-position-horizontal-relative:page;position:absolute;z-index:-251627520" coordorigin="2350,1819" coordsize="142,144" path="m2491,1819l2474,1819,2474,1835,2474,1945,2366,1945,2366,1835,2474,1835,2474,1819,2350,1819,2350,1835,2350,1945,2350,1963,2491,1963,2491,1946,2491,1945,2491,1835,2491,1819xe" filled="t" fillcolor="black" stroked="f">
                <v:fill type="solid"/>
                <v:path arrowok="t"/>
              </v:shape>
            </w:pict>
          </mc:Fallback>
        </mc:AlternateContent>
      </w:r>
      <w:r>
        <mc:AlternateContent>
          <mc:Choice Requires="wps">
            <w:drawing>
              <wp:anchor distT="0" distB="0" distL="0" distR="0" simplePos="0" relativeHeight="251689984" behindDoc="1" locked="0" layoutInCell="1" allowOverlap="1">
                <wp:simplePos x="0" y="0"/>
                <wp:positionH relativeFrom="page">
                  <wp:posOffset>1743456</wp:posOffset>
                </wp:positionH>
                <wp:positionV relativeFrom="paragraph">
                  <wp:posOffset>1914206</wp:posOffset>
                </wp:positionV>
                <wp:extent cx="90170" cy="91440"/>
                <wp:effectExtent l="0" t="0" r="0" b="0"/>
                <wp:wrapNone/>
                <wp:docPr id="4" name="Graphic 4"/>
                <wp:cNvGraphicFramePr/>
                <a:graphic xmlns:a="http://schemas.openxmlformats.org/drawingml/2006/main">
                  <a:graphicData uri="http://schemas.microsoft.com/office/word/2010/wordprocessingShape">
                    <wps:wsp xmlns:wps="http://schemas.microsoft.com/office/word/2010/wordprocessingShape">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_x0000_s1028" style="width:7.1pt;height:7.2pt;margin-top:150.72pt;margin-left:137.28pt;mso-position-horizontal-relative:page;position:absolute;z-index:-251625472" coordorigin="2746,3014" coordsize="142,144" path="m2887,3014l2870,3014,2870,3030,2870,3140,2762,3140,2762,3030,2870,3030,2870,3014,2746,3014,2746,3030,2746,3140,2746,3158,2887,3158,2887,3141,2887,3140,2887,3030,2887,3014xe" filled="t" fillcolor="black" stroked="f">
                <v:fill type="solid"/>
                <v:path arrowok="t"/>
              </v:shape>
            </w:pict>
          </mc:Fallback>
        </mc:AlternateContent>
      </w:r>
      <w:r>
        <mc:AlternateContent>
          <mc:Choice Requires="wps">
            <w:drawing>
              <wp:anchor distT="0" distB="0" distL="0" distR="0" simplePos="0" relativeHeight="251696128" behindDoc="1" locked="0" layoutInCell="1" allowOverlap="1">
                <wp:simplePos x="0" y="0"/>
                <wp:positionH relativeFrom="page">
                  <wp:posOffset>4133088</wp:posOffset>
                </wp:positionH>
                <wp:positionV relativeFrom="paragraph">
                  <wp:posOffset>1155254</wp:posOffset>
                </wp:positionV>
                <wp:extent cx="90170" cy="91440"/>
                <wp:effectExtent l="0" t="0" r="0" b="0"/>
                <wp:wrapNone/>
                <wp:docPr id="5" name="Graphic 5"/>
                <wp:cNvGraphicFramePr/>
                <a:graphic xmlns:a="http://schemas.openxmlformats.org/drawingml/2006/main">
                  <a:graphicData uri="http://schemas.microsoft.com/office/word/2010/wordprocessingShape">
                    <wps:wsp xmlns:wps="http://schemas.microsoft.com/office/word/2010/wordprocessingShape">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_x0000_s1029" style="width:7.1pt;height:7.2pt;margin-top:90.96pt;margin-left:325.44pt;mso-position-horizontal-relative:page;position:absolute;z-index:-251619328" coordorigin="6509,1819" coordsize="142,144" path="m6650,1819l6634,1819,6634,1835,6634,1945,6526,1945,6526,1835,6634,1835,6634,1819,6509,1819,6509,1835,6509,1945,6509,1963,6650,1963,6650,1946,6650,1945,6650,1835,6650,1819xe" filled="t" fillcolor="black" stroked="f">
                <v:fill type="solid"/>
                <v:path arrowok="t"/>
              </v:shape>
            </w:pict>
          </mc:Fallback>
        </mc:AlternateContent>
      </w:r>
      <w:r>
        <mc:AlternateContent>
          <mc:Choice Requires="wps">
            <w:drawing>
              <wp:anchor distT="0" distB="0" distL="0" distR="0" simplePos="0" relativeHeight="251698176" behindDoc="1" locked="0" layoutInCell="1" allowOverlap="1">
                <wp:simplePos x="0" y="0"/>
                <wp:positionH relativeFrom="page">
                  <wp:posOffset>6118860</wp:posOffset>
                </wp:positionH>
                <wp:positionV relativeFrom="paragraph">
                  <wp:posOffset>1416874</wp:posOffset>
                </wp:positionV>
                <wp:extent cx="33655" cy="9525"/>
                <wp:effectExtent l="0" t="0" r="0" b="0"/>
                <wp:wrapNone/>
                <wp:docPr id="6" name="Graphic 6"/>
                <wp:cNvGraphicFramePr/>
                <a:graphic xmlns:a="http://schemas.openxmlformats.org/drawingml/2006/main">
                  <a:graphicData uri="http://schemas.microsoft.com/office/word/2010/wordprocessingShape">
                    <wps:wsp xmlns:wps="http://schemas.microsoft.com/office/word/2010/wordprocessingShape">
                      <wps:cNvSpPr/>
                      <wps:spPr>
                        <a:xfrm>
                          <a:off x="0" y="0"/>
                          <a:ext cx="33655" cy="9525"/>
                        </a:xfrm>
                        <a:custGeom>
                          <a:avLst/>
                          <a:gdLst/>
                          <a:rect l="l" t="t" r="r" b="b"/>
                          <a:pathLst>
                            <a:path fill="norm" h="9525" w="33655" stroke="1">
                              <a:moveTo>
                                <a:pt x="33527" y="9143"/>
                              </a:moveTo>
                              <a:lnTo>
                                <a:pt x="0" y="9143"/>
                              </a:lnTo>
                              <a:lnTo>
                                <a:pt x="0" y="0"/>
                              </a:lnTo>
                              <a:lnTo>
                                <a:pt x="33527" y="0"/>
                              </a:lnTo>
                              <a:lnTo>
                                <a:pt x="33527" y="9143"/>
                              </a:lnTo>
                              <a:close/>
                            </a:path>
                          </a:pathLst>
                        </a:custGeom>
                        <a:solidFill>
                          <a:srgbClr val="000000"/>
                        </a:solidFill>
                      </wps:spPr>
                      <wps:bodyPr wrap="square" lIns="0" tIns="0" rIns="0" bIns="0" rtlCol="0">
                        <a:prstTxWarp prst="textNoShape">
                          <a:avLst/>
                        </a:prstTxWarp>
                      </wps:bodyPr>
                    </wps:wsp>
                  </a:graphicData>
                </a:graphic>
              </wp:anchor>
            </w:drawing>
          </mc:Choice>
          <mc:Fallback>
            <w:pict>
              <v:rect id="_x0000_s1030" style="width:2.64pt;height:0.72pt;margin-top:111.56pt;margin-left:481.8pt;mso-position-horizontal-relative:page;position:absolute;z-index:-251617280" filled="t" fillcolor="black" stroked="f">
                <v:fill type="solid"/>
              </v:rect>
            </w:pict>
          </mc:Fallback>
        </mc:AlternateContent>
      </w:r>
      <w:r>
        <mc:AlternateContent>
          <mc:Choice Requires="wps">
            <w:drawing>
              <wp:anchor distT="0" distB="0" distL="0" distR="0" simplePos="0" relativeHeight="251700224" behindDoc="1" locked="0" layoutInCell="1" allowOverlap="1">
                <wp:simplePos x="0" y="0"/>
                <wp:positionH relativeFrom="page">
                  <wp:posOffset>4384548</wp:posOffset>
                </wp:positionH>
                <wp:positionV relativeFrom="paragraph">
                  <wp:posOffset>1892870</wp:posOffset>
                </wp:positionV>
                <wp:extent cx="90170" cy="91440"/>
                <wp:effectExtent l="0" t="0" r="0" b="0"/>
                <wp:wrapNone/>
                <wp:docPr id="7" name="Graphic 7"/>
                <wp:cNvGraphicFramePr/>
                <a:graphic xmlns:a="http://schemas.openxmlformats.org/drawingml/2006/main">
                  <a:graphicData uri="http://schemas.microsoft.com/office/word/2010/wordprocessingShape">
                    <wps:wsp xmlns:wps="http://schemas.microsoft.com/office/word/2010/wordprocessingShape">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_x0000_s1031" style="width:7.1pt;height:7.2pt;margin-top:149.04pt;margin-left:345.24pt;mso-position-horizontal-relative:page;position:absolute;z-index:-251615232" coordorigin="6905,2981" coordsize="142,144" path="m7046,2981l7030,2981,7030,2997,7030,3107,6922,3107,6922,2997,7030,2997,7030,2981,6905,2981,6905,2997,6905,3107,6905,3125,7046,3125,7046,3107,7046,3107,7046,2997,7046,2981xe" filled="t" fillcolor="black" stroked="f">
                <v:fill type="solid"/>
                <v:path arrowok="t"/>
              </v:shape>
            </w:pict>
          </mc:Fallback>
        </mc:AlternateContent>
      </w:r>
      <w:r>
        <w:drawing>
          <wp:anchor distT="0" distB="0" distL="0" distR="0" simplePos="0" relativeHeight="251664384" behindDoc="0" locked="0" layoutInCell="1" allowOverlap="1">
            <wp:simplePos x="0" y="0"/>
            <wp:positionH relativeFrom="page">
              <wp:posOffset>1458467</wp:posOffset>
            </wp:positionH>
            <wp:positionV relativeFrom="paragraph">
              <wp:posOffset>546670</wp:posOffset>
            </wp:positionV>
            <wp:extent cx="345948" cy="188975"/>
            <wp:effectExtent l="0" t="0" r="0" b="0"/>
            <wp:wrapNone/>
            <wp:docPr id="8" name="Image 8"/>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xmlns:r="http://schemas.openxmlformats.org/officeDocument/2006/relationships" r:embed="rId4" cstate="print"/>
                    <a:stretch>
                      <a:fillRect/>
                    </a:stretch>
                  </pic:blipFill>
                  <pic:spPr>
                    <a:xfrm>
                      <a:off x="0" y="0"/>
                      <a:ext cx="345948" cy="188975"/>
                    </a:xfrm>
                    <a:prstGeom prst="rect">
                      <a:avLst/>
                    </a:prstGeom>
                  </pic:spPr>
                </pic:pic>
              </a:graphicData>
            </a:graphic>
          </wp:anchor>
        </w:drawing>
      </w:r>
      <w:r>
        <w:rPr>
          <w:w w:val="110"/>
          <w:sz w:val="30"/>
        </w:rPr>
        <w:t>Caratteristiche ambientali e/o sociali</w:t>
      </w:r>
    </w:p>
    <w:p>
      <w:pPr>
        <w:pStyle w:val="BodyText"/>
        <w:rPr>
          <w:sz w:val="8"/>
        </w:rPr>
      </w:pPr>
      <w:r>
        <w:rPr>
          <w:sz w:val="8"/>
        </w:rPr>
        <mc:AlternateContent>
          <mc:Choice Requires="wps">
            <w:drawing>
              <wp:anchor distT="0" distB="0" distL="0" distR="0" simplePos="0" relativeHeight="251710464" behindDoc="1" locked="0" layoutInCell="1" allowOverlap="1">
                <wp:simplePos x="0" y="0"/>
                <wp:positionH relativeFrom="page">
                  <wp:posOffset>9143</wp:posOffset>
                </wp:positionH>
                <wp:positionV relativeFrom="paragraph">
                  <wp:posOffset>508082</wp:posOffset>
                </wp:positionV>
                <wp:extent cx="1278890" cy="1812289"/>
                <wp:effectExtent l="0" t="0" r="0" b="0"/>
                <wp:wrapTopAndBottom/>
                <wp:docPr id="9" name="Textbox 9"/>
                <wp:cNvGraphicFramePr/>
                <a:graphic xmlns:a="http://schemas.openxmlformats.org/drawingml/2006/main">
                  <a:graphicData uri="http://schemas.microsoft.com/office/word/2010/wordprocessingShape">
                    <wps:wsp xmlns:wps="http://schemas.microsoft.com/office/word/2010/wordprocessingShape">
                      <wps:cNvSpPr txBox="1"/>
                      <wps:spPr>
                        <a:xfrm>
                          <a:off x="0" y="0"/>
                          <a:ext cx="1278890" cy="1812289"/>
                        </a:xfrm>
                        <a:prstGeom prst="rect">
                          <a:avLst/>
                        </a:prstGeom>
                        <a:solidFill>
                          <a:srgbClr val="DBD8D6"/>
                        </a:solidFill>
                      </wps:spPr>
                      <wps:txbx>
                        <w:txbxContent>
                          <w:p>
                            <w:pPr>
                              <w:spacing w:before="47" w:line="259" w:lineRule="auto"/>
                              <w:ind w:left="38" w:right="86" w:firstLine="0"/>
                              <w:jc w:val="left"/>
                              <w:rPr>
                                <w:sz w:val="16"/>
                              </w:rPr>
                            </w:pPr>
                            <w:r>
                              <w:rPr>
                                <w:b/>
                                <w:color w:val="3382A8"/>
                                <w:w w:val="110"/>
                                <w:sz w:val="15"/>
                              </w:rPr>
                              <w:t xml:space="preserve">La tassonomia dell’UE </w:t>
                            </w:r>
                            <w:r>
                              <w:rPr>
                                <w:w w:val="110"/>
                                <w:sz w:val="15"/>
                              </w:rPr>
                              <w:t xml:space="preserve">è un sistema di classificazione stabilito dal regolamento (UE) 2020/852, che definisce un elenco di </w:t>
                            </w:r>
                            <w:r>
                              <w:rPr>
                                <w:b/>
                                <w:color w:val="3382A8"/>
                                <w:w w:val="110"/>
                                <w:sz w:val="15"/>
                              </w:rPr>
                              <w:t xml:space="preserve">attività economiche sostenibili dal punto di vista ambientale. </w:t>
                            </w:r>
                            <w:r>
                              <w:rPr>
                                <w:w w:val="110"/>
                                <w:sz w:val="15"/>
                              </w:rPr>
                              <w:t>Tale regolamento non stabilisce un elenco di attività economiche sostenibili dal punto di vista sociale.</w:t>
                            </w:r>
                          </w:p>
                          <w:p>
                            <w:pPr>
                              <w:spacing w:before="0" w:line="259" w:lineRule="auto"/>
                              <w:ind w:left="38" w:right="0" w:firstLine="0"/>
                              <w:jc w:val="left"/>
                              <w:rPr>
                                <w:sz w:val="16"/>
                              </w:rPr>
                            </w:pPr>
                            <w:r>
                              <w:rPr>
                                <w:w w:val="110"/>
                                <w:sz w:val="15"/>
                              </w:rPr>
                              <w:t>Gli investimenti sostenibili con un obiettivo ambientale potrebbero essere allineati alla tassonomia oppure no.</w:t>
                            </w:r>
                          </w:p>
                        </w:txbxContent>
                      </wps:txbx>
                      <wps:bodyPr wrap="square" lIns="0" tIns="0" rIns="0" bIns="0" rtlCol="0"/>
                    </wps:wsp>
                  </a:graphicData>
                </a:graphic>
              </wp:anchor>
            </w:drawing>
          </mc:Choice>
          <mc:Fallback>
            <w:pict>
              <v:shape id="_x0000_s1032" type="#_x0000_t202" style="width:100.7pt;height:142.7pt;margin-top:40.01pt;margin-left:0.72pt;mso-position-horizontal-relative:page;mso-wrap-distance-left:0;mso-wrap-distance-right:0;position:absolute;z-index:-251604992" filled="t" fillcolor="#dbd8d6" stroked="f">
                <v:fill type="solid"/>
                <v:textbox inset="0,0,0,0">
                  <w:txbxContent>
                    <w:p>
                      <w:pPr>
                        <w:spacing w:before="47" w:line="259" w:lineRule="auto"/>
                        <w:ind w:left="38" w:right="86" w:firstLine="0"/>
                        <w:jc w:val="left"/>
                        <w:rPr>
                          <w:sz w:val="16"/>
                        </w:rPr>
                      </w:pPr>
                      <w:r>
                        <w:rPr>
                          <w:b/>
                          <w:color w:val="3382A8"/>
                          <w:w w:val="110"/>
                          <w:sz w:val="16"/>
                        </w:rPr>
                        <w:t xml:space="preserve">La tassonomia dell’UE </w:t>
                      </w:r>
                      <w:r>
                        <w:rPr>
                          <w:w w:val="110"/>
                          <w:sz w:val="16"/>
                        </w:rPr>
                        <w:t xml:space="preserve">è un sistema di classificazione stabilito dal regolamento (UE) 2020/852, che definisce un elenco di </w:t>
                      </w:r>
                      <w:r>
                        <w:rPr>
                          <w:b/>
                          <w:color w:val="3382A8"/>
                          <w:w w:val="110"/>
                          <w:sz w:val="16"/>
                        </w:rPr>
                        <w:t xml:space="preserve">attività economiche sostenibili dal punto di vista ambientale. </w:t>
                      </w:r>
                      <w:r>
                        <w:rPr>
                          <w:w w:val="110"/>
                          <w:sz w:val="16"/>
                        </w:rPr>
                        <w:t>Tale regolamento non stabilisce un elenco di attività economiche sostenibili dal punto di vista sociale.</w:t>
                      </w:r>
                    </w:p>
                    <w:p>
                      <w:pPr>
                        <w:spacing w:before="0" w:line="259" w:lineRule="auto"/>
                        <w:ind w:left="38" w:right="0" w:firstLine="0"/>
                        <w:jc w:val="left"/>
                        <w:rPr>
                          <w:sz w:val="16"/>
                        </w:rPr>
                      </w:pPr>
                      <w:r>
                        <w:rPr>
                          <w:w w:val="110"/>
                          <w:sz w:val="16"/>
                        </w:rPr>
                        <w:t>Gli investimenti sostenibili con un obiettivo ambientale potrebbero essere in linea con la tassonomia oppure no.</w:t>
                      </w:r>
                    </w:p>
                  </w:txbxContent>
                </v:textbox>
                <w10:wrap type="topAndBottom"/>
              </v:shape>
            </w:pict>
          </mc:Fallback>
        </mc:AlternateContent>
      </w:r>
      <w:r>
        <w:rPr>
          <w:sz w:val="8"/>
        </w:rPr>
        <mc:AlternateContent>
          <mc:Choice Requires="wps">
            <w:drawing>
              <wp:anchor distT="0" distB="0" distL="0" distR="0" simplePos="0" relativeHeight="251712512" behindDoc="1" locked="0" layoutInCell="1" allowOverlap="1">
                <wp:simplePos x="0" y="0"/>
                <wp:positionH relativeFrom="page">
                  <wp:posOffset>1447799</wp:posOffset>
                </wp:positionH>
                <wp:positionV relativeFrom="paragraph">
                  <wp:posOffset>73742</wp:posOffset>
                </wp:positionV>
                <wp:extent cx="5591810" cy="3259454"/>
                <wp:effectExtent l="0" t="0" r="0" b="0"/>
                <wp:wrapTopAndBottom/>
                <wp:docPr id="10" name="Textbox 10"/>
                <wp:cNvGraphicFramePr/>
                <a:graphic xmlns:a="http://schemas.openxmlformats.org/drawingml/2006/main">
                  <a:graphicData uri="http://schemas.microsoft.com/office/word/2010/wordprocessingShape">
                    <wps:wsp xmlns:wps="http://schemas.microsoft.com/office/word/2010/wordprocessingShape">
                      <wps:cNvSpPr txBox="1"/>
                      <wps:spPr>
                        <a:xfrm>
                          <a:off x="0" y="0"/>
                          <a:ext cx="5591810" cy="3259454"/>
                        </a:xfrm>
                        <a:prstGeom prst="rect">
                          <a:avLst/>
                        </a:prstGeom>
                      </wps:spPr>
                      <wps:txbx>
                        <w:txbxContent>
                          <w:tbl>
                            <w:tblPr>
                              <w:tblStyle w:val="TableNormal"/>
                              <w:tblW w:w="0" w:type="auto"/>
                              <w:jc w:val="left"/>
                              <w:tblInd w:w="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4152"/>
                              <w:gridCol w:w="4632"/>
                            </w:tblGrid>
                            <w:tr>
                              <w:tblPrEx>
                                <w:tblW w:w="0" w:type="auto"/>
                                <w:tblInd w:w="7" w:type="dxa"/>
                                <w:tblLayout w:type="fixed"/>
                                <w:tblLook w:val="01E0"/>
                              </w:tblPrEx>
                              <w:trPr>
                                <w:trHeight w:val="746"/>
                              </w:trPr>
                              <w:tc>
                                <w:tcPr>
                                  <w:tcW w:w="8784" w:type="dxa"/>
                                  <w:gridSpan w:val="2"/>
                                  <w:tcBorders>
                                    <w:left w:val="single" w:sz="6" w:space="0" w:color="000000"/>
                                    <w:bottom w:val="nil"/>
                                  </w:tcBorders>
                                  <w:shd w:val="clear" w:color="auto" w:fill="1A365D"/>
                                </w:tcPr>
                                <w:p>
                                  <w:pPr>
                                    <w:pStyle w:val="TableParagraph"/>
                                    <w:spacing w:before="51"/>
                                    <w:ind w:left="45"/>
                                    <w:rPr>
                                      <w:b/>
                                      <w:sz w:val="20"/>
                                    </w:rPr>
                                  </w:pPr>
                                  <w:r>
                                    <w:rPr>
                                      <w:b/>
                                      <w:color w:val="FFFFFF"/>
                                      <w:w w:val="105"/>
                                      <w:sz w:val="18"/>
                                    </w:rPr>
                                    <w:t>Questo prodotto finanziario ha un obiettivo di investimento sostenibile?</w:t>
                                  </w:r>
                                </w:p>
                                <w:p>
                                  <w:pPr>
                                    <w:pStyle w:val="TableParagraph"/>
                                    <w:tabs>
                                      <w:tab w:val="left" w:pos="4156"/>
                                      <w:tab w:val="left" w:pos="5221"/>
                                    </w:tabs>
                                    <w:spacing w:before="60"/>
                                    <w:ind w:left="1070"/>
                                    <w:rPr>
                                      <w:sz w:val="20"/>
                                    </w:rPr>
                                  </w:pPr>
                                  <w:r>
                                    <w:rPr>
                                      <w:color w:val="FFFFFF"/>
                                      <w:spacing w:val="-5"/>
                                      <w:w w:val="105"/>
                                      <w:sz w:val="18"/>
                                    </w:rPr>
                                    <w:t>Sì</w:t>
                                  </w:r>
                                  <w:r>
                                    <w:rPr>
                                      <w:color w:val="FFFFFF"/>
                                      <w:sz w:val="18"/>
                                    </w:rPr>
                                    <w:tab/>
                                  </w:r>
                                  <w:r>
                                    <w:rPr>
                                      <w:color w:val="FFFFFF"/>
                                      <w:position w:val="-6"/>
                                      <w:sz w:val="20"/>
                                    </w:rPr>
                                    <w:drawing>
                                      <wp:inline distT="0" distB="0" distL="0" distR="0">
                                        <wp:extent cx="342900" cy="192023"/>
                                        <wp:effectExtent l="0" t="0" r="0" b="0"/>
                                        <wp:docPr id="11" name="Image 11"/>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xmlns:r="http://schemas.openxmlformats.org/officeDocument/2006/relationships" r:embed="rId5" cstate="print"/>
                                                <a:stretch>
                                                  <a:fillRect/>
                                                </a:stretch>
                                              </pic:blipFill>
                                              <pic:spPr>
                                                <a:xfrm>
                                                  <a:off x="0" y="0"/>
                                                  <a:ext cx="342900" cy="192023"/>
                                                </a:xfrm>
                                                <a:prstGeom prst="rect">
                                                  <a:avLst/>
                                                </a:prstGeom>
                                              </pic:spPr>
                                            </pic:pic>
                                          </a:graphicData>
                                        </a:graphic>
                                      </wp:inline>
                                    </w:drawing>
                                  </w:r>
                                  <w:r>
                                    <w:rPr>
                                      <w:color w:val="FFFFFF"/>
                                      <w:spacing w:val="5"/>
                                      <w:position w:val="1"/>
                                      <w:sz w:val="20"/>
                                    </w:rPr>
                                    <w:drawing>
                                      <wp:inline distT="0" distB="0" distL="0" distR="0">
                                        <wp:extent cx="91440" cy="91440"/>
                                        <wp:effectExtent l="0" t="0" r="0" b="0"/>
                                        <wp:docPr id="12" name="Image 12"/>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xmlns:r="http://schemas.openxmlformats.org/officeDocument/2006/relationships" r:embed="rId6" cstate="print"/>
                                                <a:stretch>
                                                  <a:fillRect/>
                                                </a:stretch>
                                              </pic:blipFill>
                                              <pic:spPr>
                                                <a:xfrm>
                                                  <a:off x="0" y="0"/>
                                                  <a:ext cx="91440" cy="91440"/>
                                                </a:xfrm>
                                                <a:prstGeom prst="rect">
                                                  <a:avLst/>
                                                </a:prstGeom>
                                              </pic:spPr>
                                            </pic:pic>
                                          </a:graphicData>
                                        </a:graphic>
                                      </wp:inline>
                                    </w:drawing>
                                  </w:r>
                                  <w:r>
                                    <w:rPr>
                                      <w:color w:val="FFFFFF"/>
                                      <w:sz w:val="18"/>
                                    </w:rPr>
                                    <w:tab/>
                                  </w:r>
                                  <w:r>
                                    <w:rPr>
                                      <w:color w:val="FFFFFF"/>
                                      <w:spacing w:val="-5"/>
                                      <w:w w:val="105"/>
                                      <w:sz w:val="18"/>
                                    </w:rPr>
                                    <w:t xml:space="preserve"> No</w:t>
                                  </w:r>
                                </w:p>
                              </w:tc>
                            </w:tr>
                            <w:tr>
                              <w:tblPrEx>
                                <w:tblW w:w="0" w:type="auto"/>
                                <w:tblInd w:w="7" w:type="dxa"/>
                                <w:tblLayout w:type="fixed"/>
                                <w:tblLook w:val="01E0"/>
                              </w:tblPrEx>
                              <w:trPr>
                                <w:trHeight w:val="4338"/>
                              </w:trPr>
                              <w:tc>
                                <w:tcPr>
                                  <w:tcW w:w="4152" w:type="dxa"/>
                                  <w:tcBorders>
                                    <w:top w:val="nil"/>
                                    <w:left w:val="single" w:sz="6" w:space="0" w:color="000000"/>
                                    <w:bottom w:val="single" w:sz="8" w:space="0" w:color="000000"/>
                                  </w:tcBorders>
                                </w:tcPr>
                                <w:p>
                                  <w:pPr>
                                    <w:pStyle w:val="TableParagraph"/>
                                    <w:spacing w:before="41"/>
                                    <w:rPr>
                                      <w:sz w:val="20"/>
                                    </w:rPr>
                                  </w:pPr>
                                </w:p>
                                <w:p>
                                  <w:pPr>
                                    <w:pStyle w:val="TableParagraph"/>
                                    <w:spacing w:line="254" w:lineRule="auto"/>
                                    <w:ind w:left="441"/>
                                    <w:rPr>
                                      <w:sz w:val="20"/>
                                    </w:rPr>
                                  </w:pPr>
                                  <w:r>
                                    <w:rPr>
                                      <w:w w:val="105"/>
                                      <w:sz w:val="18"/>
                                    </w:rPr>
                                    <w:t xml:space="preserve">Effettuerà una quota minima di </w:t>
                                  </w:r>
                                  <w:r>
                                    <w:rPr>
                                      <w:b/>
                                      <w:color w:val="3382A8"/>
                                      <w:w w:val="105"/>
                                      <w:sz w:val="18"/>
                                    </w:rPr>
                                    <w:t>investimenti sostenibili con un obiettivo ambientale:</w:t>
                                  </w:r>
                                  <w:r>
                                    <w:rPr>
                                      <w:sz w:val="18"/>
                                      <w:u w:val="single"/>
                                    </w:rPr>
                                    <w:t xml:space="preserve">  </w:t>
                                  </w:r>
                                  <w:r>
                                    <w:rPr>
                                      <w:w w:val="105"/>
                                      <w:sz w:val="18"/>
                                    </w:rPr>
                                    <w:t xml:space="preserve"> %</w:t>
                                  </w:r>
                                </w:p>
                                <w:p>
                                  <w:pPr>
                                    <w:pStyle w:val="TableParagraph"/>
                                    <w:rPr>
                                      <w:sz w:val="20"/>
                                    </w:rPr>
                                  </w:pPr>
                                </w:p>
                                <w:p>
                                  <w:pPr>
                                    <w:pStyle w:val="TableParagraph"/>
                                    <w:spacing w:before="2"/>
                                    <w:rPr>
                                      <w:sz w:val="20"/>
                                    </w:rPr>
                                  </w:pPr>
                                </w:p>
                                <w:p>
                                  <w:pPr>
                                    <w:pStyle w:val="TableParagraph"/>
                                    <w:spacing w:line="259" w:lineRule="auto"/>
                                    <w:ind w:left="868"/>
                                    <w:rPr>
                                      <w:sz w:val="20"/>
                                    </w:rPr>
                                  </w:pPr>
                                  <w:r>
                                    <w:rPr>
                                      <w:w w:val="110"/>
                                      <w:sz w:val="18"/>
                                    </w:rPr>
                                    <w:t>in attività economiche che si qualificano come sostenibili dal punto di vista ambientale ai sensi della Tassonomia dell’UE</w:t>
                                  </w:r>
                                </w:p>
                                <w:p>
                                  <w:pPr>
                                    <w:pStyle w:val="TableParagraph"/>
                                    <w:spacing w:before="93"/>
                                    <w:rPr>
                                      <w:sz w:val="20"/>
                                    </w:rPr>
                                  </w:pPr>
                                </w:p>
                                <w:p>
                                  <w:pPr>
                                    <w:pStyle w:val="TableParagraph"/>
                                    <w:spacing w:line="259" w:lineRule="auto"/>
                                    <w:ind w:left="868"/>
                                    <w:rPr>
                                      <w:sz w:val="20"/>
                                    </w:rPr>
                                  </w:pPr>
                                  <w:r>
                                    <w:rPr>
                                      <w:w w:val="110"/>
                                      <w:sz w:val="18"/>
                                    </w:rPr>
                                    <w:t>in attività economiche che non sono considerate sostenibili dal punto di vista ambientale ai sensi della Tassonomia dell’UE</w:t>
                                  </w:r>
                                </w:p>
                                <w:p>
                                  <w:pPr>
                                    <w:pStyle w:val="TableParagraph"/>
                                    <w:rPr>
                                      <w:sz w:val="20"/>
                                    </w:rPr>
                                  </w:pPr>
                                </w:p>
                                <w:p>
                                  <w:pPr>
                                    <w:pStyle w:val="TableParagraph"/>
                                    <w:spacing w:before="84"/>
                                    <w:rPr>
                                      <w:sz w:val="20"/>
                                    </w:rPr>
                                  </w:pPr>
                                </w:p>
                                <w:p>
                                  <w:pPr>
                                    <w:pStyle w:val="TableParagraph"/>
                                    <w:spacing w:line="177" w:lineRule="auto"/>
                                    <w:ind w:left="441"/>
                                    <w:rPr>
                                      <w:sz w:val="20"/>
                                    </w:rPr>
                                  </w:pPr>
                                  <w:r>
                                    <w:rPr>
                                      <w:w w:val="110"/>
                                      <w:sz w:val="18"/>
                                    </w:rPr>
                                    <w:t xml:space="preserve">Effettuerà una quota minima di </w:t>
                                  </w:r>
                                  <w:r>
                                    <w:rPr>
                                      <w:b/>
                                      <w:color w:val="3382A8"/>
                                      <w:w w:val="110"/>
                                      <w:sz w:val="18"/>
                                    </w:rPr>
                                    <w:t>investimenti sostenibili con un obiettivo sociale:</w:t>
                                  </w:r>
                                  <w:r>
                                    <w:rPr>
                                      <w:sz w:val="18"/>
                                      <w:u w:val="single"/>
                                    </w:rPr>
                                    <w:t xml:space="preserve">  </w:t>
                                  </w:r>
                                  <w:r>
                                    <w:rPr>
                                      <w:w w:val="110"/>
                                      <w:sz w:val="18"/>
                                    </w:rPr>
                                    <w:t xml:space="preserve"> %</w:t>
                                  </w:r>
                                </w:p>
                              </w:tc>
                              <w:tc>
                                <w:tcPr>
                                  <w:tcW w:w="4632" w:type="dxa"/>
                                  <w:tcBorders>
                                    <w:top w:val="nil"/>
                                    <w:bottom w:val="single" w:sz="8" w:space="0" w:color="000000"/>
                                  </w:tcBorders>
                                </w:tcPr>
                                <w:p>
                                  <w:pPr>
                                    <w:pStyle w:val="TableParagraph"/>
                                    <w:spacing w:before="17" w:line="259" w:lineRule="auto"/>
                                    <w:ind w:left="440" w:right="216"/>
                                    <w:rPr>
                                      <w:sz w:val="20"/>
                                    </w:rPr>
                                  </w:pPr>
                                  <w:r>
                                    <w:rPr>
                                      <w:b/>
                                      <w:color w:val="3382A8"/>
                                      <w:w w:val="105"/>
                                      <w:sz w:val="18"/>
                                    </w:rPr>
                                    <w:t xml:space="preserve">Promuove caratteristiche ambientali/sociali (E/S) </w:t>
                                  </w:r>
                                  <w:r>
                                    <w:rPr>
                                      <w:w w:val="105"/>
                                      <w:sz w:val="18"/>
                                    </w:rPr>
                                    <w:t>e, pur non avendo come obiettivo un investimento sostenibile, avrà una quota minima pari al % di investimenti sostenibili</w:t>
                                  </w:r>
                                </w:p>
                                <w:p>
                                  <w:pPr>
                                    <w:pStyle w:val="TableParagraph"/>
                                    <w:spacing w:before="119" w:line="196" w:lineRule="auto"/>
                                    <w:ind w:left="870" w:right="216"/>
                                    <w:rPr>
                                      <w:sz w:val="20"/>
                                    </w:rPr>
                                  </w:pPr>
                                  <w:r>
                                    <w:rPr>
                                      <w:w w:val="110"/>
                                      <w:sz w:val="18"/>
                                    </w:rPr>
                                    <w:t>con un obiettivo ambientale in attività economiche che rientrano nella definizione di sostenibilità ambientale ai sensi della</w:t>
                                  </w:r>
                                </w:p>
                                <w:p>
                                  <w:pPr>
                                    <w:pStyle w:val="TableParagraph"/>
                                    <w:spacing w:before="22"/>
                                    <w:ind w:left="870"/>
                                    <w:rPr>
                                      <w:sz w:val="20"/>
                                    </w:rPr>
                                  </w:pPr>
                                  <w:r>
                                    <w:rPr>
                                      <w:spacing w:val="-2"/>
                                      <w:sz w:val="18"/>
                                    </w:rPr>
                                    <w:t>Tassonomia dell’UE</w:t>
                                  </w:r>
                                </w:p>
                                <w:p>
                                  <w:pPr>
                                    <w:pStyle w:val="TableParagraph"/>
                                    <w:spacing w:before="124" w:line="201" w:lineRule="auto"/>
                                    <w:ind w:left="870"/>
                                    <w:rPr>
                                      <w:sz w:val="20"/>
                                    </w:rPr>
                                  </w:pPr>
                                  <w:r>
                                    <w:rPr>
                                      <w:w w:val="110"/>
                                      <w:sz w:val="18"/>
                                    </w:rPr>
                                    <w:t>con un obiettivo ambientale in attività economiche che non rientrano tra quelle sostenibili dal punto di vista ambientale secondo la</w:t>
                                  </w:r>
                                </w:p>
                                <w:p>
                                  <w:pPr>
                                    <w:pStyle w:val="TableParagraph"/>
                                    <w:spacing w:before="22"/>
                                    <w:ind w:left="870"/>
                                    <w:rPr>
                                      <w:sz w:val="20"/>
                                    </w:rPr>
                                  </w:pPr>
                                  <w:r>
                                    <w:rPr>
                                      <w:spacing w:val="-2"/>
                                      <w:sz w:val="18"/>
                                    </w:rPr>
                                    <w:t>Tassonomia dell’UE</w:t>
                                  </w:r>
                                </w:p>
                                <w:p>
                                  <w:pPr>
                                    <w:pStyle w:val="TableParagraph"/>
                                    <w:spacing w:before="99"/>
                                    <w:ind w:left="870"/>
                                    <w:rPr>
                                      <w:sz w:val="20"/>
                                    </w:rPr>
                                  </w:pPr>
                                  <w:r>
                                    <w:rPr>
                                      <w:w w:val="110"/>
                                      <w:sz w:val="18"/>
                                    </w:rPr>
                                    <w:t>con un obiettivo sociale</w:t>
                                  </w:r>
                                </w:p>
                                <w:p>
                                  <w:pPr>
                                    <w:pStyle w:val="TableParagraph"/>
                                    <w:spacing w:before="101" w:line="254" w:lineRule="auto"/>
                                    <w:ind w:left="440" w:right="216"/>
                                    <w:rPr>
                                      <w:b/>
                                      <w:sz w:val="20"/>
                                    </w:rPr>
                                  </w:pPr>
                                  <w:r>
                                    <w:rPr>
                                      <w:w w:val="110"/>
                                      <w:sz w:val="18"/>
                                    </w:rPr>
                                    <w:t xml:space="preserve">Promuove caratteristiche ambientali e sociali, </w:t>
                                  </w:r>
                                  <w:r>
                                    <w:rPr>
                                      <w:b/>
                                      <w:color w:val="3382A8"/>
                                      <w:w w:val="110"/>
                                      <w:sz w:val="18"/>
                                    </w:rPr>
                                    <w:t>ma non effettuerà alcun investimento sostenibile</w:t>
                                  </w:r>
                                </w:p>
                              </w:tc>
                            </w:tr>
                          </w:tbl>
                          <w:p>
                            <w:pPr>
                              <w:pStyle w:val="BodyText"/>
                            </w:pPr>
                          </w:p>
                        </w:txbxContent>
                      </wps:txbx>
                      <wps:bodyPr wrap="square" lIns="0" tIns="0" rIns="0" bIns="0" rtlCol="0"/>
                    </wps:wsp>
                  </a:graphicData>
                </a:graphic>
              </wp:anchor>
            </w:drawing>
          </mc:Choice>
          <mc:Fallback>
            <w:pict>
              <v:shape id="_x0000_s1033" type="#_x0000_t202" style="width:440.3pt;height:256.65pt;margin-top:5.81pt;margin-left:114pt;mso-position-horizontal-relative:page;mso-wrap-distance-left:0;mso-wrap-distance-right:0;position:absolute;z-index:-251602944" filled="f" stroked="f">
                <v:textbox inset="0,0,0,0">
                  <w:txbxContent>
                    <w:tbl>
                      <w:tblPr>
                        <w:tblStyle w:val="TableNormal"/>
                        <w:tblW w:w="0" w:type="auto"/>
                        <w:jc w:val="left"/>
                        <w:tblInd w:w="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4152"/>
                        <w:gridCol w:w="4632"/>
                      </w:tblGrid>
                      <w:tr>
                        <w:tblPrEx>
                          <w:tblW w:w="0" w:type="auto"/>
                          <w:tblInd w:w="7" w:type="dxa"/>
                          <w:tblLayout w:type="fixed"/>
                          <w:tblLook w:val="01E0"/>
                        </w:tblPrEx>
                        <w:trPr>
                          <w:trHeight w:val="746"/>
                        </w:trPr>
                        <w:tc>
                          <w:tcPr>
                            <w:tcW w:w="8784" w:type="dxa"/>
                            <w:gridSpan w:val="2"/>
                            <w:tcBorders>
                              <w:left w:val="single" w:sz="6" w:space="0" w:color="000000"/>
                              <w:bottom w:val="nil"/>
                            </w:tcBorders>
                            <w:shd w:val="clear" w:color="auto" w:fill="1A365D"/>
                          </w:tcPr>
                          <w:p>
                            <w:pPr>
                              <w:pStyle w:val="TableParagraph"/>
                              <w:spacing w:before="51"/>
                              <w:ind w:left="45"/>
                              <w:rPr>
                                <w:b/>
                                <w:sz w:val="20"/>
                              </w:rPr>
                            </w:pPr>
                            <w:r>
                              <w:rPr>
                                <w:b/>
                                <w:color w:val="FFFFFF"/>
                                <w:w w:val="105"/>
                                <w:sz w:val="20"/>
                              </w:rPr>
                              <w:t>Questo prodotto finanziario ha un obiettivo di investimento sostenibile?</w:t>
                            </w:r>
                          </w:p>
                          <w:p>
                            <w:pPr>
                              <w:pStyle w:val="TableParagraph"/>
                              <w:tabs>
                                <w:tab w:val="left" w:pos="4156"/>
                                <w:tab w:val="left" w:pos="5221"/>
                              </w:tabs>
                              <w:spacing w:before="60"/>
                              <w:ind w:left="1070"/>
                              <w:rPr>
                                <w:sz w:val="20"/>
                              </w:rPr>
                            </w:pPr>
                            <w:r>
                              <w:rPr>
                                <w:color w:val="FFFFFF"/>
                                <w:spacing w:val="-5"/>
                                <w:w w:val="105"/>
                                <w:sz w:val="20"/>
                              </w:rPr>
                              <w:t>Sì</w:t>
                            </w:r>
                            <w:r>
                              <w:rPr>
                                <w:color w:val="FFFFFF"/>
                                <w:sz w:val="20"/>
                              </w:rPr>
                              <w:tab/>
                            </w:r>
                            <w:drawing>
                              <wp:inline distT="0" distB="0" distL="0" distR="0">
                                <wp:extent cx="342900" cy="192023"/>
                                <wp:effectExtent l="0" t="0" r="0" b="0"/>
                                <wp:docPr id="13" name="Image 13"/>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xmlns:r="http://schemas.openxmlformats.org/officeDocument/2006/relationships" r:embed="rId5" cstate="print"/>
                                        <a:stretch>
                                          <a:fillRect/>
                                        </a:stretch>
                                      </pic:blipFill>
                                      <pic:spPr>
                                        <a:xfrm>
                                          <a:off x="0" y="0"/>
                                          <a:ext cx="342900" cy="192023"/>
                                        </a:xfrm>
                                        <a:prstGeom prst="rect">
                                          <a:avLst/>
                                        </a:prstGeom>
                                      </pic:spPr>
                                    </pic:pic>
                                  </a:graphicData>
                                </a:graphic>
                              </wp:inline>
                            </w:drawing>
                            <w:drawing>
                              <wp:inline distT="0" distB="0" distL="0" distR="0">
                                <wp:extent cx="91440" cy="91440"/>
                                <wp:effectExtent l="0" t="0" r="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xmlns:r="http://schemas.openxmlformats.org/officeDocument/2006/relationships" r:embed="rId6" cstate="print"/>
                                        <a:stretch>
                                          <a:fillRect/>
                                        </a:stretch>
                                      </pic:blipFill>
                                      <pic:spPr>
                                        <a:xfrm>
                                          <a:off x="0" y="0"/>
                                          <a:ext cx="91440" cy="91440"/>
                                        </a:xfrm>
                                        <a:prstGeom prst="rect">
                                          <a:avLst/>
                                        </a:prstGeom>
                                      </pic:spPr>
                                    </pic:pic>
                                  </a:graphicData>
                                </a:graphic>
                              </wp:inline>
                            </w:drawing>
                            <w:r>
                              <w:rPr>
                                <w:color w:val="FFFFFF"/>
                                <w:sz w:val="20"/>
                              </w:rPr>
                              <w:tab/>
                            </w:r>
                            <w:r>
                              <w:rPr>
                                <w:color w:val="FFFFFF"/>
                                <w:spacing w:val="-5"/>
                                <w:w w:val="105"/>
                                <w:sz w:val="20"/>
                              </w:rPr>
                              <w:t xml:space="preserve"> No</w:t>
                            </w:r>
                          </w:p>
                        </w:tc>
                      </w:tr>
                      <w:tr>
                        <w:tblPrEx>
                          <w:tblW w:w="0" w:type="auto"/>
                          <w:tblInd w:w="7" w:type="dxa"/>
                          <w:tblLayout w:type="fixed"/>
                          <w:tblLook w:val="01E0"/>
                        </w:tblPrEx>
                        <w:trPr>
                          <w:trHeight w:val="4338"/>
                        </w:trPr>
                        <w:tc>
                          <w:tcPr>
                            <w:tcW w:w="4152" w:type="dxa"/>
                            <w:tcBorders>
                              <w:top w:val="nil"/>
                              <w:left w:val="single" w:sz="6" w:space="0" w:color="000000"/>
                              <w:bottom w:val="single" w:sz="8" w:space="0" w:color="000000"/>
                            </w:tcBorders>
                          </w:tcPr>
                          <w:p>
                            <w:pPr>
                              <w:pStyle w:val="TableParagraph"/>
                              <w:spacing w:before="41"/>
                              <w:rPr>
                                <w:sz w:val="20"/>
                              </w:rPr>
                            </w:pPr>
                          </w:p>
                          <w:p>
                            <w:pPr>
                              <w:pStyle w:val="TableParagraph"/>
                              <w:spacing w:line="254" w:lineRule="auto"/>
                              <w:ind w:left="441"/>
                              <w:rPr>
                                <w:sz w:val="20"/>
                              </w:rPr>
                            </w:pPr>
                            <w:r>
                              <w:rPr>
                                <w:w w:val="105"/>
                                <w:sz w:val="20"/>
                              </w:rPr>
                              <w:t xml:space="preserve">Effettuerà un numero minimo di </w:t>
                            </w:r>
                            <w:r>
                              <w:rPr>
                                <w:b/>
                                <w:color w:val="3382A8"/>
                                <w:w w:val="105"/>
                                <w:sz w:val="20"/>
                              </w:rPr>
                              <w:t>investimenti sostenibili con un obiettivo ambientale:</w:t>
                            </w:r>
                            <w:r>
                              <w:rPr>
                                <w:sz w:val="20"/>
                                <w:u w:val="single"/>
                              </w:rPr>
                              <w:t xml:space="preserve">  </w:t>
                            </w:r>
                            <w:r>
                              <w:rPr>
                                <w:w w:val="105"/>
                                <w:sz w:val="20"/>
                              </w:rPr>
                              <w:t xml:space="preserve"> %</w:t>
                            </w:r>
                          </w:p>
                          <w:p>
                            <w:pPr>
                              <w:pStyle w:val="TableParagraph"/>
                              <w:rPr>
                                <w:sz w:val="20"/>
                              </w:rPr>
                            </w:pPr>
                          </w:p>
                          <w:p>
                            <w:pPr>
                              <w:pStyle w:val="TableParagraph"/>
                              <w:spacing w:before="2"/>
                              <w:rPr>
                                <w:sz w:val="20"/>
                              </w:rPr>
                            </w:pPr>
                          </w:p>
                          <w:p>
                            <w:pPr>
                              <w:pStyle w:val="TableParagraph"/>
                              <w:spacing w:line="259" w:lineRule="auto"/>
                              <w:ind w:left="868"/>
                              <w:rPr>
                                <w:sz w:val="20"/>
                              </w:rPr>
                            </w:pPr>
                            <w:r>
                              <w:rPr>
                                <w:w w:val="110"/>
                                <w:sz w:val="20"/>
                              </w:rPr>
                              <w:t>in attività economiche che rientrano nella classificazione di sostenibilità ambientale secondo la Tassonomia dell’UE</w:t>
                            </w:r>
                          </w:p>
                          <w:p>
                            <w:pPr>
                              <w:pStyle w:val="TableParagraph"/>
                              <w:spacing w:before="93"/>
                              <w:rPr>
                                <w:sz w:val="20"/>
                              </w:rPr>
                            </w:pPr>
                          </w:p>
                          <w:p>
                            <w:pPr>
                              <w:pStyle w:val="TableParagraph"/>
                              <w:spacing w:line="259" w:lineRule="auto"/>
                              <w:ind w:left="868"/>
                              <w:rPr>
                                <w:sz w:val="20"/>
                              </w:rPr>
                            </w:pPr>
                            <w:r>
                              <w:rPr>
                                <w:w w:val="110"/>
                                <w:sz w:val="20"/>
                              </w:rPr>
                              <w:t>in attività economiche che non sono considerate sostenibili dal punto di vista ambientale ai sensi della Tassonomia dell’UE</w:t>
                            </w:r>
                          </w:p>
                          <w:p>
                            <w:pPr>
                              <w:pStyle w:val="TableParagraph"/>
                              <w:rPr>
                                <w:sz w:val="20"/>
                              </w:rPr>
                            </w:pPr>
                          </w:p>
                          <w:p>
                            <w:pPr>
                              <w:pStyle w:val="TableParagraph"/>
                              <w:spacing w:before="84"/>
                              <w:rPr>
                                <w:sz w:val="20"/>
                              </w:rPr>
                            </w:pPr>
                          </w:p>
                          <w:p>
                            <w:pPr>
                              <w:pStyle w:val="TableParagraph"/>
                              <w:spacing w:line="177" w:lineRule="auto"/>
                              <w:ind w:left="441"/>
                              <w:rPr>
                                <w:sz w:val="20"/>
                              </w:rPr>
                            </w:pPr>
                            <w:r>
                              <w:rPr>
                                <w:w w:val="110"/>
                                <w:sz w:val="20"/>
                              </w:rPr>
                              <w:t xml:space="preserve">Effettuerà una quota minima di </w:t>
                            </w:r>
                            <w:r>
                              <w:rPr>
                                <w:b/>
                                <w:color w:val="3382A8"/>
                                <w:w w:val="110"/>
                                <w:sz w:val="20"/>
                              </w:rPr>
                              <w:t>investimenti sostenibili con un obiettivo sociale:</w:t>
                            </w:r>
                            <w:r>
                              <w:rPr>
                                <w:sz w:val="20"/>
                                <w:u w:val="single"/>
                              </w:rPr>
                              <w:t xml:space="preserve">  </w:t>
                            </w:r>
                            <w:r>
                              <w:rPr>
                                <w:w w:val="110"/>
                                <w:sz w:val="20"/>
                              </w:rPr>
                              <w:t xml:space="preserve"> %</w:t>
                            </w:r>
                          </w:p>
                        </w:tc>
                        <w:tc>
                          <w:tcPr>
                            <w:tcW w:w="4632" w:type="dxa"/>
                            <w:tcBorders>
                              <w:top w:val="nil"/>
                              <w:bottom w:val="single" w:sz="8" w:space="0" w:color="000000"/>
                            </w:tcBorders>
                          </w:tcPr>
                          <w:p>
                            <w:pPr>
                              <w:pStyle w:val="TableParagraph"/>
                              <w:spacing w:before="17" w:line="259" w:lineRule="auto"/>
                              <w:ind w:left="440" w:right="216"/>
                              <w:rPr>
                                <w:sz w:val="20"/>
                              </w:rPr>
                            </w:pPr>
                            <w:r>
                              <w:rPr>
                                <w:b/>
                                <w:color w:val="3382A8"/>
                                <w:w w:val="105"/>
                                <w:sz w:val="20"/>
                              </w:rPr>
                              <w:t xml:space="preserve">Promuove caratteristiche ambientali/sociali (E/S) </w:t>
                            </w:r>
                            <w:r>
                              <w:rPr>
                                <w:w w:val="105"/>
                                <w:sz w:val="20"/>
                              </w:rPr>
                              <w:t>e, pur non avendo come obiettivo un investimento sostenibile, avrà una quota minima pari al % di investimenti sostenibili</w:t>
                            </w:r>
                          </w:p>
                          <w:p>
                            <w:pPr>
                              <w:pStyle w:val="TableParagraph"/>
                              <w:spacing w:before="119" w:line="196" w:lineRule="auto"/>
                              <w:ind w:left="870" w:right="216"/>
                              <w:rPr>
                                <w:sz w:val="20"/>
                              </w:rPr>
                            </w:pPr>
                            <w:r>
                              <w:rPr>
                                <w:w w:val="110"/>
                                <w:sz w:val="20"/>
                              </w:rPr>
                              <w:t>con un obiettivo ambientale in attività economiche che rientrano nella definizione di sostenibilità ambientale ai sensi della</w:t>
                            </w:r>
                          </w:p>
                          <w:p>
                            <w:pPr>
                              <w:pStyle w:val="TableParagraph"/>
                              <w:spacing w:before="22"/>
                              <w:ind w:left="870"/>
                              <w:rPr>
                                <w:sz w:val="20"/>
                              </w:rPr>
                            </w:pPr>
                            <w:r>
                              <w:rPr>
                                <w:spacing w:val="-2"/>
                                <w:sz w:val="20"/>
                              </w:rPr>
                              <w:t>Tassonomia dell’UE</w:t>
                            </w:r>
                          </w:p>
                          <w:p>
                            <w:pPr>
                              <w:pStyle w:val="TableParagraph"/>
                              <w:spacing w:before="124" w:line="201" w:lineRule="auto"/>
                              <w:ind w:left="870"/>
                              <w:rPr>
                                <w:sz w:val="20"/>
                              </w:rPr>
                            </w:pPr>
                            <w:r>
                              <w:rPr>
                                <w:w w:val="110"/>
                                <w:sz w:val="20"/>
                              </w:rPr>
                              <w:t>con un obiettivo ambientale in attività economiche che non rientrano tra quelle sostenibili dal punto di vista ambientale secondo la</w:t>
                            </w:r>
                          </w:p>
                          <w:p>
                            <w:pPr>
                              <w:pStyle w:val="TableParagraph"/>
                              <w:spacing w:before="22"/>
                              <w:ind w:left="870"/>
                              <w:rPr>
                                <w:sz w:val="20"/>
                              </w:rPr>
                            </w:pPr>
                            <w:r>
                              <w:rPr>
                                <w:spacing w:val="-2"/>
                                <w:sz w:val="20"/>
                              </w:rPr>
                              <w:t>Tassonomia dell’UE</w:t>
                            </w:r>
                          </w:p>
                          <w:p>
                            <w:pPr>
                              <w:pStyle w:val="TableParagraph"/>
                              <w:spacing w:before="99"/>
                              <w:ind w:left="870"/>
                              <w:rPr>
                                <w:sz w:val="20"/>
                              </w:rPr>
                            </w:pPr>
                            <w:r>
                              <w:rPr>
                                <w:w w:val="110"/>
                                <w:sz w:val="20"/>
                              </w:rPr>
                              <w:t>con un obiettivo sociale</w:t>
                            </w:r>
                          </w:p>
                          <w:p>
                            <w:pPr>
                              <w:pStyle w:val="TableParagraph"/>
                              <w:spacing w:before="101" w:line="254" w:lineRule="auto"/>
                              <w:ind w:left="440" w:right="216"/>
                              <w:rPr>
                                <w:b/>
                                <w:sz w:val="20"/>
                              </w:rPr>
                            </w:pPr>
                            <w:r>
                              <w:rPr>
                                <w:w w:val="110"/>
                                <w:sz w:val="20"/>
                              </w:rPr>
                              <w:t xml:space="preserve">Promuove caratteristiche ambientali e sociali, </w:t>
                            </w:r>
                            <w:r>
                              <w:rPr>
                                <w:b/>
                                <w:color w:val="3382A8"/>
                                <w:w w:val="110"/>
                                <w:sz w:val="20"/>
                              </w:rPr>
                              <w:t>ma non effettuerà alcun investimento sostenibile</w:t>
                            </w:r>
                          </w:p>
                        </w:tc>
                      </w:tr>
                    </w:tbl>
                    <w:p>
                      <w:pPr>
                        <w:pStyle w:val="BodyText"/>
                      </w:pPr>
                    </w:p>
                  </w:txbxContent>
                </v:textbox>
                <w10:wrap type="topAndBottom"/>
              </v:shape>
            </w:pict>
          </mc:Fallback>
        </mc:AlternateContent>
      </w:r>
    </w:p>
    <w:p>
      <w:pPr>
        <w:pStyle w:val="Heading2"/>
        <w:spacing w:before="116"/>
      </w:pPr>
      <w:r>
        <w:rPr>
          <w:b w:val="0"/>
          <w:position w:val="-28"/>
        </w:rPr>
        <w:drawing>
          <wp:inline distT="0" distB="0" distL="0" distR="0">
            <wp:extent cx="1345691" cy="469391"/>
            <wp:effectExtent l="0" t="0" r="0" b="0"/>
            <wp:docPr id="15" name="Image 15"/>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xmlns:r="http://schemas.openxmlformats.org/officeDocument/2006/relationships" r:embed="rId7" cstate="print"/>
                    <a:stretch>
                      <a:fillRect/>
                    </a:stretch>
                  </pic:blipFill>
                  <pic:spPr>
                    <a:xfrm>
                      <a:off x="0" y="0"/>
                      <a:ext cx="1345691" cy="469391"/>
                    </a:xfrm>
                    <a:prstGeom prst="rect">
                      <a:avLst/>
                    </a:prstGeom>
                  </pic:spPr>
                </pic:pic>
              </a:graphicData>
            </a:graphic>
          </wp:inline>
        </w:drawing>
      </w:r>
      <w:r>
        <w:rPr>
          <w:b w:val="0"/>
          <w:sz w:val="18"/>
        </w:rPr>
        <w:t xml:space="preserve"> </w:t>
      </w:r>
      <w:r>
        <w:rPr>
          <w:color w:val="1A365D"/>
          <w:w w:val="105"/>
          <w:sz w:val="18"/>
        </w:rPr>
        <w:t>Quali caratteristiche ambientali e/o sociali vengono promosse da questo prodotto finanziario?</w:t>
      </w:r>
    </w:p>
    <w:p>
      <w:pPr>
        <w:pStyle w:val="BodyText"/>
        <w:spacing w:before="192"/>
        <w:ind w:left="2344"/>
      </w:pPr>
      <w:r>
        <mc:AlternateContent>
          <mc:Choice Requires="wps">
            <w:drawing>
              <wp:anchor distT="0" distB="0" distL="0" distR="0" simplePos="0" relativeHeight="251692032" behindDoc="1" locked="0" layoutInCell="1" allowOverlap="1">
                <wp:simplePos x="0" y="0"/>
                <wp:positionH relativeFrom="page">
                  <wp:posOffset>1743456</wp:posOffset>
                </wp:positionH>
                <wp:positionV relativeFrom="paragraph">
                  <wp:posOffset>-1514093</wp:posOffset>
                </wp:positionV>
                <wp:extent cx="90170" cy="91440"/>
                <wp:effectExtent l="0" t="0" r="0" b="0"/>
                <wp:wrapNone/>
                <wp:docPr id="16" name="Graphic 16"/>
                <wp:cNvGraphicFramePr/>
                <a:graphic xmlns:a="http://schemas.openxmlformats.org/drawingml/2006/main">
                  <a:graphicData uri="http://schemas.microsoft.com/office/word/2010/wordprocessingShape">
                    <wps:wsp xmlns:wps="http://schemas.microsoft.com/office/word/2010/wordprocessingShape">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_x0000_s1034" style="width:7.1pt;height:7.2pt;margin-top:-119.22pt;margin-left:137.28pt;mso-position-horizontal-relative:page;position:absolute;z-index:-251623424" coordorigin="2746,-2384" coordsize="142,144" path="m2887,-2384l2870,-2384,2870,-2368,2870,-2258,2762,-2258,2762,-2368,2870,-2368,2870,-2384,2746,-2384,2746,-2368,2746,-2258,2746,-2240,2887,-2240,2887,-2258,2887,-2258,2887,-2368,2887,-2384xe" filled="t" fillcolor="black" stroked="f">
                <v:fill type="solid"/>
                <v:path arrowok="t"/>
              </v:shape>
            </w:pict>
          </mc:Fallback>
        </mc:AlternateContent>
      </w:r>
      <w:r>
        <mc:AlternateContent>
          <mc:Choice Requires="wps">
            <w:drawing>
              <wp:anchor distT="0" distB="0" distL="0" distR="0" simplePos="0" relativeHeight="251694080" behindDoc="1" locked="0" layoutInCell="1" allowOverlap="1">
                <wp:simplePos x="0" y="0"/>
                <wp:positionH relativeFrom="page">
                  <wp:posOffset>1491983</wp:posOffset>
                </wp:positionH>
                <wp:positionV relativeFrom="paragraph">
                  <wp:posOffset>-887729</wp:posOffset>
                </wp:positionV>
                <wp:extent cx="90170" cy="91440"/>
                <wp:effectExtent l="0" t="0" r="0" b="0"/>
                <wp:wrapNone/>
                <wp:docPr id="17" name="Graphic 17"/>
                <wp:cNvGraphicFramePr/>
                <a:graphic xmlns:a="http://schemas.openxmlformats.org/drawingml/2006/main">
                  <a:graphicData uri="http://schemas.microsoft.com/office/word/2010/wordprocessingShape">
                    <wps:wsp xmlns:wps="http://schemas.microsoft.com/office/word/2010/wordprocessingShape">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_x0000_s1035" style="width:7.1pt;height:7.2pt;margin-top:-69.9pt;margin-left:117.48pt;mso-position-horizontal-relative:page;position:absolute;z-index:-251621376" coordorigin="2350,-1398" coordsize="142,144" path="m2491,-1398l2474,-1398,2474,-1382,2474,-1272,2366,-1272,2366,-1382,2474,-1382,2474,-1398,2350,-1398,2350,-1382,2350,-1272,2350,-1254,2491,-1254,2491,-1272,2491,-1272,2491,-1382,2491,-1398xe" filled="t" fillcolor="black" stroked="f">
                <v:fill type="solid"/>
                <v:path arrowok="t"/>
              </v:shape>
            </w:pict>
          </mc:Fallback>
        </mc:AlternateContent>
      </w:r>
      <w:r>
        <mc:AlternateContent>
          <mc:Choice Requires="wps">
            <w:drawing>
              <wp:anchor distT="0" distB="0" distL="0" distR="0" simplePos="0" relativeHeight="251702272" behindDoc="1" locked="0" layoutInCell="1" allowOverlap="1">
                <wp:simplePos x="0" y="0"/>
                <wp:positionH relativeFrom="page">
                  <wp:posOffset>4384548</wp:posOffset>
                </wp:positionH>
                <wp:positionV relativeFrom="paragraph">
                  <wp:posOffset>-1610105</wp:posOffset>
                </wp:positionV>
                <wp:extent cx="90170" cy="91440"/>
                <wp:effectExtent l="0" t="0" r="0" b="0"/>
                <wp:wrapNone/>
                <wp:docPr id="18" name="Graphic 18"/>
                <wp:cNvGraphicFramePr/>
                <a:graphic xmlns:a="http://schemas.openxmlformats.org/drawingml/2006/main">
                  <a:graphicData uri="http://schemas.microsoft.com/office/word/2010/wordprocessingShape">
                    <wps:wsp xmlns:wps="http://schemas.microsoft.com/office/word/2010/wordprocessingShape">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_x0000_s1036" style="width:7.1pt;height:7.2pt;margin-top:-126.78pt;margin-left:345.24pt;mso-position-horizontal-relative:page;position:absolute;z-index:-251613184" coordorigin="6905,-2536" coordsize="142,144" path="m7046,-2536l7030,-2536,7030,-2520,7030,-2410,6922,-2410,6922,-2520,7030,-2520,7030,-2536,6905,-2536,6905,-2520,6905,-2410,6905,-2392,7046,-2392,7046,-2409,7046,-2410,7046,-2520,7046,-2536xe" filled="t" fillcolor="black" stroked="f">
                <v:fill type="solid"/>
                <v:path arrowok="t"/>
              </v:shape>
            </w:pict>
          </mc:Fallback>
        </mc:AlternateContent>
      </w:r>
      <w:r>
        <mc:AlternateContent>
          <mc:Choice Requires="wps">
            <w:drawing>
              <wp:anchor distT="0" distB="0" distL="0" distR="0" simplePos="0" relativeHeight="251704320" behindDoc="1" locked="0" layoutInCell="1" allowOverlap="1">
                <wp:simplePos x="0" y="0"/>
                <wp:positionH relativeFrom="page">
                  <wp:posOffset>4384548</wp:posOffset>
                </wp:positionH>
                <wp:positionV relativeFrom="paragraph">
                  <wp:posOffset>-1137665</wp:posOffset>
                </wp:positionV>
                <wp:extent cx="90170" cy="91440"/>
                <wp:effectExtent l="0" t="0" r="0" b="0"/>
                <wp:wrapNone/>
                <wp:docPr id="19" name="Graphic 19"/>
                <wp:cNvGraphicFramePr/>
                <a:graphic xmlns:a="http://schemas.openxmlformats.org/drawingml/2006/main">
                  <a:graphicData uri="http://schemas.microsoft.com/office/word/2010/wordprocessingShape">
                    <wps:wsp xmlns:wps="http://schemas.microsoft.com/office/word/2010/wordprocessingShape">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_x0000_s1037" style="width:7.1pt;height:7.2pt;margin-top:-89.58pt;margin-left:345.24pt;mso-position-horizontal-relative:page;position:absolute;z-index:-251611136" coordorigin="6905,-1792" coordsize="142,144" path="m7046,-1792l7030,-1792,7030,-1776,7030,-1666,6922,-1666,6922,-1776,7030,-1776,7030,-1792,6905,-1792,6905,-1776,6905,-1666,6905,-1648,7046,-1648,7046,-1665,7046,-1666,7046,-1776,7046,-1792xe" filled="t" fillcolor="black" stroked="f">
                <v:fill type="solid"/>
                <v:path arrowok="t"/>
              </v:shape>
            </w:pict>
          </mc:Fallback>
        </mc:AlternateContent>
      </w:r>
      <w:r>
        <w:drawing>
          <wp:anchor distT="0" distB="0" distL="0" distR="0" simplePos="0" relativeHeight="251706368" behindDoc="1" locked="0" layoutInCell="1" allowOverlap="1">
            <wp:simplePos x="0" y="0"/>
            <wp:positionH relativeFrom="page">
              <wp:posOffset>4133088</wp:posOffset>
            </wp:positionH>
            <wp:positionV relativeFrom="paragraph">
              <wp:posOffset>-933957</wp:posOffset>
            </wp:positionV>
            <wp:extent cx="92297" cy="92297"/>
            <wp:effectExtent l="0" t="0" r="0" b="0"/>
            <wp:wrapNone/>
            <wp:docPr id="20" name="Image 20"/>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xmlns:r="http://schemas.openxmlformats.org/officeDocument/2006/relationships" r:embed="rId8" cstate="print"/>
                    <a:stretch>
                      <a:fillRect/>
                    </a:stretch>
                  </pic:blipFill>
                  <pic:spPr>
                    <a:xfrm>
                      <a:off x="0" y="0"/>
                      <a:ext cx="92297" cy="92297"/>
                    </a:xfrm>
                    <a:prstGeom prst="rect">
                      <a:avLst/>
                    </a:prstGeom>
                  </pic:spPr>
                </pic:pic>
              </a:graphicData>
            </a:graphic>
          </wp:anchor>
        </w:drawing>
      </w:r>
      <w:r>
        <mc:AlternateContent>
          <mc:Choice Requires="wps">
            <w:drawing>
              <wp:anchor distT="0" distB="0" distL="0" distR="0" simplePos="0" relativeHeight="251660288" behindDoc="0" locked="0" layoutInCell="1" allowOverlap="1">
                <wp:simplePos x="0" y="0"/>
                <wp:positionH relativeFrom="page">
                  <wp:posOffset>13716</wp:posOffset>
                </wp:positionH>
                <wp:positionV relativeFrom="paragraph">
                  <wp:posOffset>90170</wp:posOffset>
                </wp:positionV>
                <wp:extent cx="1280160" cy="803275"/>
                <wp:effectExtent l="0" t="0" r="0" b="0"/>
                <wp:wrapNone/>
                <wp:docPr id="21" name="Textbox 21"/>
                <wp:cNvGraphicFramePr/>
                <a:graphic xmlns:a="http://schemas.openxmlformats.org/drawingml/2006/main">
                  <a:graphicData uri="http://schemas.microsoft.com/office/word/2010/wordprocessingShape">
                    <wps:wsp xmlns:wps="http://schemas.microsoft.com/office/word/2010/wordprocessingShape">
                      <wps:cNvSpPr txBox="1"/>
                      <wps:spPr>
                        <a:xfrm>
                          <a:off x="0" y="0"/>
                          <a:ext cx="1280160" cy="803275"/>
                        </a:xfrm>
                        <a:prstGeom prst="rect">
                          <a:avLst/>
                        </a:prstGeom>
                        <a:solidFill>
                          <a:srgbClr val="DBD8D6"/>
                        </a:solidFill>
                      </wps:spPr>
                      <wps:txbx>
                        <w:txbxContent>
                          <w:p>
                            <w:pPr>
                              <w:spacing w:before="47" w:line="259" w:lineRule="auto"/>
                              <w:ind w:left="38" w:right="174" w:firstLine="0"/>
                              <w:jc w:val="left"/>
                              <w:rPr>
                                <w:sz w:val="16"/>
                              </w:rPr>
                            </w:pPr>
                            <w:r>
                              <w:rPr>
                                <w:b/>
                                <w:color w:val="3382A8"/>
                                <w:sz w:val="15"/>
                              </w:rPr>
                              <w:t xml:space="preserve">Gli indicatori di sostenibilità </w:t>
                            </w:r>
                            <w:r>
                              <w:rPr>
                                <w:w w:val="110"/>
                                <w:sz w:val="15"/>
                              </w:rPr>
                              <w:t>misurano in che misura vengono raggiunte le caratteristiche ambientali o sociali promosse dal prodotto finanziario.</w:t>
                            </w:r>
                          </w:p>
                        </w:txbxContent>
                      </wps:txbx>
                      <wps:bodyPr wrap="square" lIns="0" tIns="0" rIns="0" bIns="0" rtlCol="0"/>
                    </wps:wsp>
                  </a:graphicData>
                </a:graphic>
              </wp:anchor>
            </w:drawing>
          </mc:Choice>
          <mc:Fallback>
            <w:pict>
              <v:shape id="_x0000_s1038" type="#_x0000_t202" style="width:100.8pt;height:63.25pt;margin-top:7.1pt;margin-left:1.08pt;mso-position-horizontal-relative:page;position:absolute;z-index:251661312" filled="t" fillcolor="#dbd8d6" stroked="f">
                <v:fill type="solid"/>
                <v:textbox inset="0,0,0,0">
                  <w:txbxContent>
                    <w:p>
                      <w:pPr>
                        <w:spacing w:before="47" w:line="259" w:lineRule="auto"/>
                        <w:ind w:left="38" w:right="174" w:firstLine="0"/>
                        <w:jc w:val="left"/>
                        <w:rPr>
                          <w:sz w:val="16"/>
                        </w:rPr>
                      </w:pPr>
                      <w:r>
                        <w:rPr>
                          <w:b/>
                          <w:color w:val="3382A8"/>
                          <w:sz w:val="16"/>
                        </w:rPr>
                        <w:t xml:space="preserve">Gli indicatori di sostenibilità </w:t>
                      </w:r>
                      <w:r>
                        <w:rPr>
                          <w:w w:val="110"/>
                          <w:sz w:val="16"/>
                        </w:rPr>
                        <w:t>misurano in che misura vengono raggiunte le caratteristiche ambientali o sociali promosse dal prodotto finanziario.</w:t>
                      </w:r>
                    </w:p>
                  </w:txbxContent>
                </v:textbox>
              </v:shape>
            </w:pict>
          </mc:Fallback>
        </mc:AlternateContent>
      </w:r>
      <w:r>
        <w:rPr>
          <w:w w:val="110"/>
          <w:sz w:val="17"/>
        </w:rPr>
        <w:t>Il Fondo investe una parte del proprio patrimonio in titoli che soddisfano la seguente caratteristica sociale.</w:t>
      </w:r>
    </w:p>
    <w:p>
      <w:pPr>
        <w:pStyle w:val="BodyText"/>
        <w:spacing w:before="35"/>
      </w:pPr>
    </w:p>
    <w:p>
      <w:pPr>
        <w:pStyle w:val="BodyText"/>
        <w:spacing w:line="259" w:lineRule="auto"/>
        <w:ind w:left="2344" w:right="142"/>
      </w:pPr>
      <w:r>
        <w:rPr>
          <w:w w:val="110"/>
          <w:sz w:val="17"/>
        </w:rPr>
        <w:t>Il Fondo investirà in emittenti con un rating S e manterrà un rating S medio ponderato complessivo superiore a quello dell’indice ICE Bank of America Euro High Yield Constrained (l’“Indice”).</w:t>
      </w:r>
    </w:p>
    <w:p>
      <w:pPr>
        <w:pStyle w:val="BodyText"/>
        <w:spacing w:before="9"/>
        <w:rPr>
          <w:sz w:val="10"/>
        </w:rPr>
      </w:pPr>
    </w:p>
    <w:p>
      <w:pPr>
        <w:pStyle w:val="BodyText"/>
        <w:spacing w:after="0"/>
        <w:rPr>
          <w:sz w:val="10"/>
        </w:rPr>
        <w:sectPr>
          <w:type w:val="continuous"/>
          <w:pgSz w:w="11910" w:h="16840"/>
          <w:pgMar w:top="0" w:right="708" w:bottom="280" w:left="0" w:header="708" w:footer="708"/>
          <w:cols w:space="708"/>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36"/>
        <w:rPr>
          <w:sz w:val="20"/>
        </w:rPr>
      </w:pPr>
    </w:p>
    <w:p>
      <w:pPr>
        <w:spacing w:line="240" w:lineRule="auto"/>
        <w:ind w:left="14" w:right="0" w:firstLine="0"/>
        <w:rPr>
          <w:sz w:val="20"/>
        </w:rPr>
      </w:pPr>
      <w:r>
        <w:rPr>
          <w:sz w:val="20"/>
        </w:rPr>
        <mc:AlternateContent>
          <mc:Choice Requires="wps">
            <w:drawing>
              <wp:inline distT="0" distB="0" distL="0" distR="0">
                <wp:extent cx="1278890" cy="299085"/>
                <wp:effectExtent l="0" t="0" r="0" b="0"/>
                <wp:docPr id="22" name="Textbox 22"/>
                <wp:cNvGraphicFramePr/>
                <a:graphic xmlns:a="http://schemas.openxmlformats.org/drawingml/2006/main">
                  <a:graphicData uri="http://schemas.microsoft.com/office/word/2010/wordprocessingShape">
                    <wps:wsp xmlns:wps="http://schemas.microsoft.com/office/word/2010/wordprocessingShape">
                      <wps:cNvSpPr txBox="1"/>
                      <wps:spPr>
                        <a:xfrm>
                          <a:off x="0" y="0"/>
                          <a:ext cx="1278890" cy="299085"/>
                        </a:xfrm>
                        <a:prstGeom prst="rect">
                          <a:avLst/>
                        </a:prstGeom>
                        <a:solidFill>
                          <a:srgbClr val="DBD8D6"/>
                        </a:solidFill>
                      </wps:spPr>
                      <wps:txbx>
                        <w:txbxContent>
                          <w:p>
                            <w:pPr>
                              <w:spacing w:before="57"/>
                              <w:ind w:left="38" w:right="0" w:firstLine="0"/>
                              <w:jc w:val="left"/>
                              <w:rPr>
                                <w:b/>
                                <w:sz w:val="16"/>
                              </w:rPr>
                            </w:pPr>
                            <w:r>
                              <w:rPr>
                                <w:b/>
                                <w:color w:val="3382A8"/>
                                <w:w w:val="105"/>
                                <w:sz w:val="15"/>
                              </w:rPr>
                              <w:t>Principali impatti negativi</w:t>
                            </w:r>
                          </w:p>
                          <w:p>
                            <w:pPr>
                              <w:spacing w:before="13"/>
                              <w:ind w:left="38" w:right="0" w:firstLine="0"/>
                              <w:jc w:val="left"/>
                              <w:rPr>
                                <w:sz w:val="16"/>
                              </w:rPr>
                            </w:pPr>
                            <w:r>
                              <w:rPr>
                                <w:w w:val="110"/>
                                <w:sz w:val="15"/>
                              </w:rPr>
                              <w:t>sono i più significativi</w:t>
                            </w:r>
                          </w:p>
                        </w:txbxContent>
                      </wps:txbx>
                      <wps:bodyPr wrap="square" lIns="0" tIns="0" rIns="0" bIns="0" rtlCol="0"/>
                    </wps:wsp>
                  </a:graphicData>
                </a:graphic>
              </wp:inline>
            </w:drawing>
          </mc:Choice>
          <mc:Fallback>
            <w:pict>
              <v:shape id="_x0000_i1039" type="#_x0000_t202" style="width:100.7pt;height:23.55pt;mso-position-horizontal-relative:char;mso-position-vertical-relative:line" filled="t" fillcolor="#dbd8d6" stroked="f">
                <v:fill type="solid"/>
                <v:textbox inset="0,0,0,0">
                  <w:txbxContent>
                    <w:p>
                      <w:pPr>
                        <w:spacing w:before="57"/>
                        <w:ind w:left="38" w:right="0" w:firstLine="0"/>
                        <w:jc w:val="left"/>
                        <w:rPr>
                          <w:b/>
                          <w:sz w:val="16"/>
                        </w:rPr>
                      </w:pPr>
                      <w:r>
                        <w:rPr>
                          <w:b/>
                          <w:color w:val="3382A8"/>
                          <w:w w:val="105"/>
                          <w:sz w:val="16"/>
                        </w:rPr>
                        <w:t>Principali effetti negativi</w:t>
                      </w:r>
                    </w:p>
                    <w:p>
                      <w:pPr>
                        <w:spacing w:before="13"/>
                        <w:ind w:left="38" w:right="0" w:firstLine="0"/>
                        <w:jc w:val="left"/>
                        <w:rPr>
                          <w:sz w:val="16"/>
                        </w:rPr>
                      </w:pPr>
                      <w:r>
                        <w:rPr>
                          <w:w w:val="110"/>
                          <w:sz w:val="16"/>
                        </w:rPr>
                        <w:t>sono i più significativi</w:t>
                      </w:r>
                    </w:p>
                  </w:txbxContent>
                </v:textbox>
                <w10:anchorlock/>
              </v:shape>
            </w:pict>
          </mc:Fallback>
        </mc:AlternateContent>
      </w:r>
    </w:p>
    <w:p>
      <w:pPr>
        <w:spacing w:before="0" w:line="226" w:lineRule="exact"/>
        <w:ind w:left="14" w:right="0" w:firstLine="0"/>
        <w:jc w:val="left"/>
        <w:rPr>
          <w:sz w:val="20"/>
        </w:rPr>
      </w:pPr>
      <w:r>
        <w:rPr>
          <w:spacing w:val="-2"/>
          <w:w w:val="99"/>
          <w:sz w:val="18"/>
        </w:rPr>
        <w:t>MN-A77_7D2E30C3H1-E3RT.95619170.2</w:t>
      </w:r>
    </w:p>
    <w:p>
      <w:pPr>
        <w:pStyle w:val="BodyText"/>
        <w:spacing w:before="98" w:line="259" w:lineRule="auto"/>
        <w:ind w:right="63"/>
      </w:pPr>
      <w:r>
        <w:rPr>
          <w:sz w:val="17"/>
        </w:rPr>
        <w:br w:type="column"/>
      </w:r>
      <w:r>
        <w:rPr>
          <w:w w:val="110"/>
          <w:sz w:val="17"/>
        </w:rPr>
        <w:t>Sebbene l’Indice sia utilizzato per il confronto relativo al Rating S, non è stato designato un benchmark di riferimento ai fini del raggiungimento delle caratteristiche ambientali e/o sociali promosse dal Fondo.</w:t>
      </w:r>
    </w:p>
    <w:p>
      <w:pPr>
        <w:pStyle w:val="Heading3"/>
        <w:spacing w:line="249" w:lineRule="auto"/>
        <w:ind w:right="63"/>
      </w:pPr>
      <w:r>
        <w:rPr>
          <w:color w:val="1A365D"/>
          <w:w w:val="110"/>
          <w:sz w:val="18"/>
        </w:rPr>
        <w:t>Quali indicatori di sostenibilità vengono utilizzati per misurare il raggiungimento di ciascuna delle caratteristiche ambientali o sociali promosse da questo prodotto finanziario?</w:t>
      </w:r>
    </w:p>
    <w:p>
      <w:pPr>
        <w:pStyle w:val="BodyText"/>
        <w:spacing w:before="88"/>
        <w:ind w:left="383"/>
      </w:pPr>
      <w:r>
        <w:rPr>
          <w:w w:val="110"/>
          <w:sz w:val="17"/>
        </w:rPr>
        <w:t>La differenza tra il rating S medio ponderato del Fondo e quello dell’Indice.</w:t>
      </w:r>
    </w:p>
    <w:p>
      <w:pPr>
        <w:pStyle w:val="Heading3"/>
        <w:spacing w:before="146" w:line="249" w:lineRule="auto"/>
        <w:ind w:right="288"/>
      </w:pPr>
      <w:r>
        <w:rPr>
          <w:color w:val="1A365D"/>
          <w:w w:val="110"/>
          <w:sz w:val="18"/>
        </w:rPr>
        <w:t>Quali sono gli obiettivi degli investimenti sostenibili che il prodotto finanziario intende effettuare in parte e in che modo l’investimento sostenibile contribuisce a tali obiettivi?</w:t>
      </w:r>
    </w:p>
    <w:p>
      <w:pPr>
        <w:pStyle w:val="BodyText"/>
        <w:spacing w:before="90" w:line="259" w:lineRule="auto"/>
        <w:ind w:left="383" w:right="63"/>
      </w:pPr>
      <w:r>
        <w:rPr>
          <w:w w:val="110"/>
          <w:sz w:val="17"/>
        </w:rPr>
        <w:t>Non applicabile. Il Fondo non si impegna attualmente a investire in alcun investimento sostenibile ai sensi dello SFDR.</w:t>
      </w:r>
    </w:p>
    <w:p>
      <w:pPr>
        <w:pStyle w:val="Heading3"/>
        <w:spacing w:line="249" w:lineRule="auto"/>
        <w:ind w:right="288"/>
      </w:pPr>
      <w:r>
        <w:rPr>
          <w:color w:val="1A365D"/>
          <w:w w:val="110"/>
          <w:sz w:val="18"/>
        </w:rPr>
        <w:t>In che modo gli investimenti sostenibili che il prodotto finanziario intende effettuare in parte non causano un danno significativo a nessun obiettivo di investimento sostenibile ambientale o sociale?</w:t>
      </w:r>
    </w:p>
    <w:p>
      <w:pPr>
        <w:pStyle w:val="BodyText"/>
        <w:spacing w:before="87" w:line="259" w:lineRule="auto"/>
        <w:ind w:left="383" w:right="63"/>
      </w:pPr>
      <w:r>
        <w:rPr>
          <w:w w:val="110"/>
          <w:sz w:val="17"/>
        </w:rPr>
        <w:t>Non applicabile. Il Fondo non si impegna attualmente a investire in alcun investimento sostenibile ai sensi dello SFDR.</w:t>
      </w:r>
    </w:p>
    <w:p>
      <w:pPr>
        <w:pStyle w:val="Heading3"/>
        <w:ind w:left="719"/>
      </w:pPr>
      <w:r>
        <w:rPr>
          <w:w w:val="110"/>
          <w:sz w:val="18"/>
        </w:rPr>
        <w:t>- In che modo sono stati presi in considerazione gli indicatori relativi agli impatti negativi sui fattori di sostenibilità?</w:t>
      </w:r>
    </w:p>
    <w:p>
      <w:pPr>
        <w:pStyle w:val="Heading3"/>
        <w:spacing w:after="0"/>
        <w:sectPr>
          <w:type w:val="continuous"/>
          <w:pgSz w:w="11910" w:h="16840"/>
          <w:pgMar w:top="0" w:right="708" w:bottom="280" w:left="0" w:header="708" w:footer="708"/>
          <w:cols w:num="2" w:space="708" w:equalWidth="0">
            <w:col w:w="2328" w:space="17"/>
            <w:col w:w="8857" w:space="0"/>
          </w:cols>
        </w:sectPr>
      </w:pPr>
    </w:p>
    <w:p>
      <w:pPr>
        <w:pStyle w:val="BodyText"/>
        <w:spacing w:line="205" w:lineRule="exact"/>
        <w:ind w:left="1610"/>
      </w:pPr>
      <w:r>
        <mc:AlternateContent>
          <mc:Choice Requires="wpg">
            <w:drawing>
              <wp:anchor distT="0" distB="0" distL="0" distR="0" simplePos="0" relativeHeight="251658240" behindDoc="0" locked="0" layoutInCell="1" allowOverlap="1">
                <wp:simplePos x="0" y="0"/>
                <wp:positionH relativeFrom="page">
                  <wp:posOffset>9144</wp:posOffset>
                </wp:positionH>
                <wp:positionV relativeFrom="page">
                  <wp:posOffset>6095</wp:posOffset>
                </wp:positionV>
                <wp:extent cx="7543800" cy="573405"/>
                <wp:effectExtent l="0" t="0" r="0" b="0"/>
                <wp:wrapNone/>
                <wp:docPr id="23" name="Group 23"/>
                <wp:cNvGraphicFramePr/>
                <a:graphic xmlns:a="http://schemas.openxmlformats.org/drawingml/2006/main">
                  <a:graphicData uri="http://schemas.microsoft.com/office/word/2010/wordprocessingGroup">
                    <wpg:wgp xmlns:wpg="http://schemas.microsoft.com/office/word/2010/wordprocessingGroup">
                      <wpg:cNvGrpSpPr/>
                      <wpg:grpSpPr>
                        <a:xfrm>
                          <a:off x="0" y="0"/>
                          <a:ext cx="7543800" cy="573405"/>
                          <a:chOff x="0" y="0"/>
                          <a:chExt cx="7543800" cy="573405"/>
                        </a:xfrm>
                      </wpg:grpSpPr>
                      <wps:wsp xmlns:wps="http://schemas.microsoft.com/office/word/2010/wordprocessingShape">
                        <wps:cNvPr id="24" name="Graphic 24"/>
                        <wps:cNvSpPr/>
                        <wps:spPr>
                          <a:xfrm>
                            <a:off x="0" y="0"/>
                            <a:ext cx="7543800" cy="573405"/>
                          </a:xfrm>
                          <a:custGeom>
                            <a:avLst/>
                            <a:gdLst/>
                            <a:rect l="l" t="t" r="r" b="b"/>
                            <a:pathLst>
                              <a:path fill="norm" h="573405" w="7543800" stroke="1">
                                <a:moveTo>
                                  <a:pt x="7543800" y="573024"/>
                                </a:moveTo>
                                <a:lnTo>
                                  <a:pt x="0" y="573024"/>
                                </a:lnTo>
                                <a:lnTo>
                                  <a:pt x="0" y="0"/>
                                </a:lnTo>
                                <a:lnTo>
                                  <a:pt x="7543800" y="0"/>
                                </a:lnTo>
                                <a:lnTo>
                                  <a:pt x="7543800" y="573024"/>
                                </a:lnTo>
                                <a:close/>
                              </a:path>
                            </a:pathLst>
                          </a:custGeom>
                          <a:solidFill>
                            <a:srgbClr val="1A365D"/>
                          </a:solidFill>
                        </wps:spPr>
                        <wps:bodyPr wrap="square" lIns="0" tIns="0" rIns="0" bIns="0" rtlCol="0">
                          <a:prstTxWarp prst="textNoShape">
                            <a:avLst/>
                          </a:prstTxWarp>
                        </wps:bodyPr>
                      </wps:wsp>
                      <pic:pic xmlns:pic="http://schemas.openxmlformats.org/drawingml/2006/picture">
                        <pic:nvPicPr>
                          <pic:cNvPr id="25" name="Image 25"/>
                          <pic:cNvPicPr/>
                        </pic:nvPicPr>
                        <pic:blipFill>
                          <a:blip xmlns:r="http://schemas.openxmlformats.org/officeDocument/2006/relationships" r:embed="rId9" cstate="print"/>
                          <a:stretch>
                            <a:fillRect/>
                          </a:stretch>
                        </pic:blipFill>
                        <pic:spPr>
                          <a:xfrm>
                            <a:off x="534923" y="120395"/>
                            <a:ext cx="1271015" cy="329183"/>
                          </a:xfrm>
                          <a:prstGeom prst="rect">
                            <a:avLst/>
                          </a:prstGeom>
                        </pic:spPr>
                      </pic:pic>
                    </wpg:wgp>
                  </a:graphicData>
                </a:graphic>
              </wp:anchor>
            </w:drawing>
          </mc:Choice>
          <mc:Fallback>
            <w:pict>
              <v:group id="_x0000_s1040" style="width:594pt;height:45.15pt;margin-top:0.48pt;margin-left:0.72pt;mso-position-horizontal-relative:page;mso-position-vertical-relative:page;position:absolute;z-index:251659264" coordorigin="14,10" coordsize="11880,903">
                <v:rect id="_x0000_s1041" style="width:11880;height:903;left:14;position:absolute;top:9" filled="t" fillcolor="#1a365d" stroked="f">
                  <v:fill type="solid"/>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width:2002;height:519;left:856;position:absolute;top:199" stroked="f">
                  <v:imagedata r:id="rId9" o:title=""/>
                </v:shape>
              </v:group>
            </w:pict>
          </mc:Fallback>
        </mc:AlternateContent>
      </w:r>
      <w:r>
        <w:rPr>
          <w:color w:val="1A365D"/>
          <w:spacing w:val="-2"/>
          <w:w w:val="110"/>
          <w:sz w:val="17"/>
        </w:rPr>
        <w:t>Wellington Euro High Yield Bond Fund</w:t>
      </w:r>
    </w:p>
    <w:p>
      <w:pPr>
        <w:pStyle w:val="BodyText"/>
        <w:spacing w:after="0" w:line="205" w:lineRule="exact"/>
        <w:sectPr>
          <w:type w:val="continuous"/>
          <w:pgSz w:w="11910" w:h="16840"/>
          <w:pgMar w:top="0" w:right="708" w:bottom="280" w:left="0" w:header="708" w:footer="708"/>
          <w:cols w:space="708"/>
        </w:sectPr>
      </w:pPr>
    </w:p>
    <w:p>
      <w:pPr>
        <w:pStyle w:val="Heading3"/>
        <w:spacing w:before="70"/>
        <w:ind w:left="3064"/>
      </w:pPr>
      <w:r>
        <w:rPr>
          <w:spacing w:val="-2"/>
          <w:w w:val="105"/>
          <w:sz w:val="18"/>
        </w:rPr>
        <w:t>?</w:t>
      </w: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rPr>
          <w:b/>
          <w:i/>
          <w:sz w:val="16"/>
        </w:rPr>
      </w:pPr>
    </w:p>
    <w:p>
      <w:pPr>
        <w:pStyle w:val="BodyText"/>
        <w:spacing w:before="106"/>
        <w:rPr>
          <w:b/>
          <w:i/>
          <w:sz w:val="16"/>
        </w:rPr>
      </w:pPr>
    </w:p>
    <w:p>
      <w:pPr>
        <w:spacing w:before="0"/>
        <w:ind w:left="14" w:right="0" w:firstLine="0"/>
        <w:jc w:val="left"/>
        <w:rPr>
          <w:rFonts w:ascii="Arial"/>
          <w:sz w:val="16"/>
        </w:rPr>
      </w:pPr>
      <w:r>
        <w:rPr>
          <w:rFonts w:ascii="Arial"/>
          <w:spacing w:val="-2"/>
          <w:sz w:val="15"/>
        </w:rPr>
        <w:t>M-77723031-3</w:t>
      </w:r>
    </w:p>
    <w:p>
      <w:pPr>
        <w:spacing w:before="7"/>
        <w:ind w:left="14" w:right="0" w:firstLine="0"/>
        <w:jc w:val="left"/>
        <w:rPr>
          <w:sz w:val="18"/>
        </w:rPr>
      </w:pPr>
      <w:r>
        <w:rPr>
          <w:spacing w:val="6"/>
          <w:w w:val="101"/>
          <w:position w:val="2"/>
          <w:sz w:val="18"/>
        </w:rPr>
        <w:t>NA_DECHERT.</w:t>
      </w:r>
      <w:r>
        <w:rPr>
          <w:color w:val="1A365D"/>
          <w:spacing w:val="-57"/>
          <w:w w:val="113"/>
          <w:sz w:val="17"/>
        </w:rPr>
        <w:t>956W19el1l7in0g</w:t>
      </w:r>
      <w:r>
        <w:rPr>
          <w:spacing w:val="7"/>
          <w:w w:val="101"/>
          <w:position w:val="2"/>
          <w:sz w:val="18"/>
        </w:rPr>
        <w:t>.</w:t>
      </w:r>
      <w:r>
        <w:rPr>
          <w:color w:val="1A365D"/>
          <w:spacing w:val="5"/>
          <w:w w:val="119"/>
          <w:sz w:val="17"/>
        </w:rPr>
        <w:t xml:space="preserve">2ton </w:t>
      </w:r>
      <w:r>
        <w:rPr>
          <w:color w:val="1A365D"/>
          <w:spacing w:val="-16"/>
          <w:w w:val="105"/>
          <w:sz w:val="17"/>
        </w:rPr>
        <w:t>Euro High Yield Bond Fund</w:t>
      </w:r>
    </w:p>
    <w:p>
      <w:pPr>
        <w:spacing w:after="0"/>
        <w:jc w:val="left"/>
        <w:rPr>
          <w:sz w:val="18"/>
        </w:rPr>
        <w:sectPr>
          <w:pgSz w:w="11910" w:h="16840"/>
          <w:pgMar w:top="1340" w:right="708" w:bottom="280" w:left="0" w:header="708" w:footer="708"/>
          <w:cols w:space="708"/>
        </w:sectPr>
      </w:pPr>
    </w:p>
    <w:p>
      <w:pPr>
        <w:pStyle w:val="BodyText"/>
        <w:spacing w:before="184"/>
      </w:pPr>
    </w:p>
    <w:p>
      <w:pPr>
        <w:pStyle w:val="BodyText"/>
        <w:spacing w:line="259" w:lineRule="auto"/>
        <w:ind w:left="3064" w:right="329"/>
      </w:pPr>
      <w:r>
        <mc:AlternateContent>
          <mc:Choice Requires="wps">
            <w:drawing>
              <wp:anchor distT="0" distB="0" distL="0" distR="0" simplePos="0" relativeHeight="251669504" behindDoc="0" locked="0" layoutInCell="1" allowOverlap="1">
                <wp:simplePos x="0" y="0"/>
                <wp:positionH relativeFrom="page">
                  <wp:posOffset>7620</wp:posOffset>
                </wp:positionH>
                <wp:positionV relativeFrom="paragraph">
                  <wp:posOffset>-31865</wp:posOffset>
                </wp:positionV>
                <wp:extent cx="1283335" cy="1062355"/>
                <wp:effectExtent l="0" t="0" r="0" b="0"/>
                <wp:wrapNone/>
                <wp:docPr id="30" name="Textbox 30"/>
                <wp:cNvGraphicFramePr/>
                <a:graphic xmlns:a="http://schemas.openxmlformats.org/drawingml/2006/main">
                  <a:graphicData uri="http://schemas.microsoft.com/office/word/2010/wordprocessingShape">
                    <wps:wsp xmlns:wps="http://schemas.microsoft.com/office/word/2010/wordprocessingShape">
                      <wps:cNvSpPr txBox="1"/>
                      <wps:spPr>
                        <a:xfrm>
                          <a:off x="0" y="0"/>
                          <a:ext cx="1283335" cy="1062355"/>
                        </a:xfrm>
                        <a:prstGeom prst="rect">
                          <a:avLst/>
                        </a:prstGeom>
                        <a:solidFill>
                          <a:srgbClr val="DBD8D6"/>
                        </a:solidFill>
                      </wps:spPr>
                      <wps:txbx>
                        <w:txbxContent>
                          <w:p>
                            <w:pPr>
                              <w:spacing w:before="47" w:line="259" w:lineRule="auto"/>
                              <w:ind w:left="40" w:right="70" w:firstLine="0"/>
                              <w:jc w:val="left"/>
                              <w:rPr>
                                <w:sz w:val="16"/>
                              </w:rPr>
                            </w:pPr>
                            <w:r>
                              <w:rPr>
                                <w:w w:val="110"/>
                                <w:sz w:val="15"/>
                              </w:rPr>
                              <w:t>impatti negativi delle decisioni di investimento sui fattori di sostenibilità relativi a questioni ambientali, sociali e relative ai dipendenti, al rispetto dei diritti umani, alla lotta alla corruzione e alle pratiche di concussione.</w:t>
                            </w:r>
                          </w:p>
                        </w:txbxContent>
                      </wps:txbx>
                      <wps:bodyPr wrap="square" lIns="0" tIns="0" rIns="0" bIns="0" rtlCol="0"/>
                    </wps:wsp>
                  </a:graphicData>
                </a:graphic>
              </wp:anchor>
            </w:drawing>
          </mc:Choice>
          <mc:Fallback>
            <w:pict>
              <v:shape id="_x0000_s1043" type="#_x0000_t202" style="width:101.05pt;height:83.65pt;margin-top:-2.51pt;margin-left:0.6pt;mso-position-horizontal-relative:page;position:absolute;z-index:251670528" filled="t" fillcolor="#dbd8d6" stroked="f">
                <v:fill type="solid"/>
                <v:textbox inset="0,0,0,0">
                  <w:txbxContent>
                    <w:p>
                      <w:pPr>
                        <w:spacing w:before="47" w:line="259" w:lineRule="auto"/>
                        <w:ind w:left="40" w:right="70" w:firstLine="0"/>
                        <w:jc w:val="left"/>
                        <w:rPr>
                          <w:sz w:val="16"/>
                        </w:rPr>
                      </w:pPr>
                      <w:r>
                        <w:rPr>
                          <w:w w:val="110"/>
                          <w:sz w:val="16"/>
                        </w:rPr>
                        <w:t>impatti negativi delle decisioni di investimento sui fattori di sostenibilità relativi a questioni ambientali, sociali e relative ai dipendenti, al rispetto dei diritti umani, alla lotta alla corruzione e alle pratiche di concussione.</w:t>
                      </w:r>
                    </w:p>
                  </w:txbxContent>
                </v:textbox>
              </v:shape>
            </w:pict>
          </mc:Fallback>
        </mc:AlternateContent>
      </w:r>
      <w:r>
        <w:rPr>
          <w:w w:val="110"/>
          <w:sz w:val="17"/>
        </w:rPr>
        <w:t>Non applicabile. Il Fondo non si impegna attualmente a investire in alcun investimento sostenibile ai sensi del SFDR.</w:t>
      </w:r>
    </w:p>
    <w:p>
      <w:pPr>
        <w:pStyle w:val="Heading3"/>
        <w:spacing w:before="101" w:line="252" w:lineRule="auto"/>
        <w:ind w:left="3064" w:right="329" w:hanging="1"/>
      </w:pPr>
      <w:r>
        <w:rPr>
          <w:sz w:val="18"/>
        </w:rPr>
        <w:t>- In che modo gli investimenti sostenibili sono allineati alle Linee guida dell’OCSE per le imprese multinazionali e ai Principi guida delle Nazioni Unite su imprese e diritti umani? Dettagli:</w:t>
      </w:r>
    </w:p>
    <w:p>
      <w:pPr>
        <w:pStyle w:val="BodyText"/>
        <w:spacing w:before="83" w:line="259" w:lineRule="auto"/>
        <w:ind w:left="3064" w:right="329"/>
      </w:pPr>
      <w:r>
        <w:rPr>
          <w:w w:val="110"/>
          <w:sz w:val="17"/>
        </w:rPr>
        <w:t>Non applicabile. Il Fondo non si impegna attualmente a investire in alcun investimento sostenibile ai sensi del SFDR.</w:t>
      </w:r>
    </w:p>
    <w:p>
      <w:pPr>
        <w:pStyle w:val="BodyText"/>
        <w:spacing w:before="9"/>
        <w:rPr>
          <w:sz w:val="5"/>
        </w:rPr>
      </w:pPr>
      <w:r>
        <w:rPr>
          <w:sz w:val="5"/>
        </w:rPr>
        <mc:AlternateContent>
          <mc:Choice Requires="wps">
            <w:drawing>
              <wp:anchor distT="0" distB="0" distL="0" distR="0" simplePos="0" relativeHeight="251714560" behindDoc="1" locked="0" layoutInCell="1" allowOverlap="1">
                <wp:simplePos x="0" y="0"/>
                <wp:positionH relativeFrom="page">
                  <wp:posOffset>1705355</wp:posOffset>
                </wp:positionH>
                <wp:positionV relativeFrom="paragraph">
                  <wp:posOffset>57921</wp:posOffset>
                </wp:positionV>
                <wp:extent cx="5313045" cy="1754505"/>
                <wp:effectExtent l="0" t="0" r="0" b="0"/>
                <wp:wrapTopAndBottom/>
                <wp:docPr id="31" name="Textbox 31"/>
                <wp:cNvGraphicFramePr/>
                <a:graphic xmlns:a="http://schemas.openxmlformats.org/drawingml/2006/main">
                  <a:graphicData uri="http://schemas.microsoft.com/office/word/2010/wordprocessingShape">
                    <wps:wsp xmlns:wps="http://schemas.microsoft.com/office/word/2010/wordprocessingShape">
                      <wps:cNvSpPr txBox="1"/>
                      <wps:spPr>
                        <a:xfrm>
                          <a:off x="0" y="0"/>
                          <a:ext cx="5313045" cy="1754505"/>
                        </a:xfrm>
                        <a:prstGeom prst="rect">
                          <a:avLst/>
                        </a:prstGeom>
                        <a:solidFill>
                          <a:srgbClr val="1A365D"/>
                        </a:solidFill>
                      </wps:spPr>
                      <wps:txbx>
                        <w:txbxContent>
                          <w:p>
                            <w:pPr>
                              <w:pStyle w:val="BodyText"/>
                              <w:spacing w:before="61"/>
                            </w:pPr>
                          </w:p>
                          <w:p>
                            <w:pPr>
                              <w:pStyle w:val="BodyText"/>
                              <w:spacing w:line="259" w:lineRule="auto"/>
                              <w:ind w:left="43" w:right="46"/>
                            </w:pPr>
                            <w:r>
                              <w:rPr>
                                <w:color w:val="FFFFFF"/>
                                <w:w w:val="110"/>
                                <w:sz w:val="17"/>
                              </w:rPr>
                              <w:t>La tassonomia dell’UE stabilisce il principio del «non causare danni significativi», secondo cui gli investimenti allineati alla tassonomia non devono danneggiare in modo significativo gli obiettivi della tassonomia dell’UE, ed è accompagnata da criteri specifici dell’UE.</w:t>
                            </w:r>
                          </w:p>
                          <w:p>
                            <w:pPr>
                              <w:pStyle w:val="BodyText"/>
                              <w:spacing w:before="20"/>
                            </w:pPr>
                          </w:p>
                          <w:p>
                            <w:pPr>
                              <w:pStyle w:val="BodyText"/>
                              <w:spacing w:line="259" w:lineRule="auto"/>
                              <w:ind w:left="43" w:right="46"/>
                            </w:pPr>
                            <w:r>
                              <w:rPr>
                                <w:color w:val="FFFFFF"/>
                                <w:w w:val="110"/>
                                <w:sz w:val="17"/>
                              </w:rPr>
                              <w:t>Il principio del «non causare danni significativi» si applica solo agli investimenti sottostanti al prodotto finanziario che tengono conto dei criteri dell’UE per le attività economiche sostenibili dal punto di vista ambientale. Gli investimenti sottostanti alla restante parte di questo prodotto finanziario non tengono conto dei criteri dell’UE per le attività economiche sostenibili dal punto di vista ambientale.</w:t>
                            </w:r>
                          </w:p>
                          <w:p>
                            <w:pPr>
                              <w:pStyle w:val="BodyText"/>
                              <w:spacing w:before="18"/>
                            </w:pPr>
                          </w:p>
                          <w:p>
                            <w:pPr>
                              <w:pStyle w:val="BodyText"/>
                              <w:spacing w:line="259" w:lineRule="auto"/>
                              <w:ind w:left="43" w:right="46"/>
                            </w:pPr>
                            <w:r>
                              <w:rPr>
                                <w:color w:val="FFFFFF"/>
                                <w:w w:val="110"/>
                                <w:sz w:val="17"/>
                              </w:rPr>
                              <w:t>Anche qualsiasi altro investimento sostenibile non deve arrecare danno significativo ad alcun obiettivo ambientale o sociale.</w:t>
                            </w:r>
                          </w:p>
                        </w:txbxContent>
                      </wps:txbx>
                      <wps:bodyPr wrap="square" lIns="0" tIns="0" rIns="0" bIns="0" rtlCol="0"/>
                    </wps:wsp>
                  </a:graphicData>
                </a:graphic>
              </wp:anchor>
            </w:drawing>
          </mc:Choice>
          <mc:Fallback>
            <w:pict>
              <v:shape id="_x0000_s1044" type="#_x0000_t202" style="width:418.35pt;height:138.15pt;margin-top:4.56pt;margin-left:134.28pt;mso-position-horizontal-relative:page;mso-wrap-distance-left:0;mso-wrap-distance-right:0;position:absolute;z-index:-251600896" filled="t" fillcolor="#1a365d" stroked="f">
                <v:fill type="solid"/>
                <v:textbox inset="0,0,0,0">
                  <w:txbxContent>
                    <w:p>
                      <w:pPr>
                        <w:pStyle w:val="BodyText"/>
                        <w:spacing w:before="61"/>
                      </w:pPr>
                    </w:p>
                    <w:p>
                      <w:pPr>
                        <w:pStyle w:val="BodyText"/>
                        <w:spacing w:line="259" w:lineRule="auto"/>
                        <w:ind w:left="43" w:right="46"/>
                      </w:pPr>
                      <w:r>
                        <w:rPr>
                          <w:color w:val="FFFFFF"/>
                          <w:w w:val="110"/>
                        </w:rPr>
                        <w:t>La tassonomia dell’UE stabilisce il principio del «non arrecare danno significativo», secondo cui gli investimenti allineati alla tassonomia non devono arrecare danno significativo agli obiettivi della tassonomia dell’UE, ed è accompagnata da criteri specifici dell’UE.</w:t>
                      </w:r>
                    </w:p>
                    <w:p>
                      <w:pPr>
                        <w:pStyle w:val="BodyText"/>
                        <w:spacing w:before="20"/>
                      </w:pPr>
                    </w:p>
                    <w:p>
                      <w:pPr>
                        <w:pStyle w:val="BodyText"/>
                        <w:spacing w:line="259" w:lineRule="auto"/>
                        <w:ind w:left="43" w:right="46"/>
                      </w:pPr>
                      <w:r>
                        <w:rPr>
                          <w:color w:val="FFFFFF"/>
                          <w:w w:val="110"/>
                        </w:rPr>
                        <w:t>Il principio del «non causare danni significativi» si applica solo agli investimenti sottostanti al prodotto finanziario che tengono conto dei criteri dell’UE per le attività economiche sostenibili dal punto di vista ambientale. Gli investimenti sottostanti alla restante parte di questo prodotto finanziario non tengono conto dei criteri dell’UE per le attività economiche sostenibili dal punto di vista ambientale.</w:t>
                      </w:r>
                    </w:p>
                    <w:p>
                      <w:pPr>
                        <w:pStyle w:val="BodyText"/>
                        <w:spacing w:before="18"/>
                      </w:pPr>
                    </w:p>
                    <w:p>
                      <w:pPr>
                        <w:pStyle w:val="BodyText"/>
                        <w:spacing w:line="259" w:lineRule="auto"/>
                        <w:ind w:left="43" w:right="46"/>
                      </w:pPr>
                      <w:r>
                        <w:rPr>
                          <w:color w:val="FFFFFF"/>
                          <w:w w:val="110"/>
                        </w:rPr>
                        <w:t>Anche qualsiasi altro investimento sostenibile non deve arrecare danno significativo ad alcun obiettivo ambientale o sociale.</w:t>
                      </w:r>
                    </w:p>
                  </w:txbxContent>
                </v:textbox>
                <w10:wrap type="topAndBottom"/>
              </v:shape>
            </w:pict>
          </mc:Fallback>
        </mc:AlternateContent>
      </w:r>
    </w:p>
    <w:p>
      <w:pPr>
        <w:pStyle w:val="BodyText"/>
        <w:spacing w:before="206"/>
      </w:pPr>
    </w:p>
    <w:p>
      <w:pPr>
        <w:pStyle w:val="Heading2"/>
        <w:ind w:left="2330"/>
      </w:pPr>
      <w:r>
        <w:drawing>
          <wp:anchor distT="0" distB="0" distL="0" distR="0" simplePos="0" relativeHeight="251665408" behindDoc="0" locked="0" layoutInCell="1" allowOverlap="1">
            <wp:simplePos x="0" y="0"/>
            <wp:positionH relativeFrom="page">
              <wp:posOffset>21335</wp:posOffset>
            </wp:positionH>
            <wp:positionV relativeFrom="paragraph">
              <wp:posOffset>-150991</wp:posOffset>
            </wp:positionV>
            <wp:extent cx="1377696" cy="484632"/>
            <wp:effectExtent l="0" t="0" r="0" b="0"/>
            <wp:wrapNone/>
            <wp:docPr id="32" name="Image 32"/>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xmlns:r="http://schemas.openxmlformats.org/officeDocument/2006/relationships" r:embed="rId10" cstate="print"/>
                    <a:stretch>
                      <a:fillRect/>
                    </a:stretch>
                  </pic:blipFill>
                  <pic:spPr>
                    <a:xfrm>
                      <a:off x="0" y="0"/>
                      <a:ext cx="1377696" cy="484632"/>
                    </a:xfrm>
                    <a:prstGeom prst="rect">
                      <a:avLst/>
                    </a:prstGeom>
                  </pic:spPr>
                </pic:pic>
              </a:graphicData>
            </a:graphic>
          </wp:anchor>
        </w:drawing>
      </w:r>
      <w:r>
        <w:rPr>
          <w:color w:val="1A365D"/>
          <w:spacing w:val="2"/>
          <w:sz w:val="18"/>
        </w:rPr>
        <w:t>Questo prodotto finanziario tiene conto dei principali impatti negativi sui fattori di sostenibilità?</w:t>
      </w:r>
    </w:p>
    <w:p>
      <w:pPr>
        <w:pStyle w:val="BodyText"/>
        <w:spacing w:before="159"/>
        <w:rPr>
          <w:b/>
          <w:sz w:val="20"/>
        </w:rPr>
      </w:pPr>
    </w:p>
    <w:p>
      <w:pPr>
        <w:tabs>
          <w:tab w:val="left" w:pos="2726"/>
        </w:tabs>
        <w:spacing w:before="0"/>
        <w:ind w:left="2342" w:right="0" w:firstLine="0"/>
        <w:jc w:val="left"/>
        <w:rPr>
          <w:sz w:val="18"/>
        </w:rPr>
      </w:pPr>
      <w:r>
        <w:drawing>
          <wp:inline distT="0" distB="0" distL="0" distR="0">
            <wp:extent cx="82296" cy="82296"/>
            <wp:effectExtent l="0" t="0" r="0" b="0"/>
            <wp:docPr id="33" name="Image 33"/>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xmlns:r="http://schemas.openxmlformats.org/officeDocument/2006/relationships" r:embed="rId11" cstate="print"/>
                    <a:stretch>
                      <a:fillRect/>
                    </a:stretch>
                  </pic:blipFill>
                  <pic:spPr>
                    <a:xfrm>
                      <a:off x="0" y="0"/>
                      <a:ext cx="82296" cy="82296"/>
                    </a:xfrm>
                    <a:prstGeom prst="rect">
                      <a:avLst/>
                    </a:prstGeom>
                  </pic:spPr>
                </pic:pic>
              </a:graphicData>
            </a:graphic>
          </wp:inline>
        </w:drawing>
      </w:r>
      <w:r>
        <w:rPr>
          <w:sz w:val="18"/>
        </w:rPr>
        <w:tab/>
      </w:r>
      <w:r>
        <w:rPr>
          <w:spacing w:val="-5"/>
          <w:sz w:val="17"/>
        </w:rPr>
        <w:t>Sì</w:t>
      </w:r>
    </w:p>
    <w:p>
      <w:pPr>
        <w:tabs>
          <w:tab w:val="left" w:pos="2726"/>
        </w:tabs>
        <w:spacing w:before="117"/>
        <w:ind w:left="2342" w:right="0" w:firstLine="0"/>
        <w:jc w:val="left"/>
        <w:rPr>
          <w:sz w:val="18"/>
        </w:rPr>
      </w:pPr>
      <w:r>
        <w:drawing>
          <wp:inline distT="0" distB="0" distL="0" distR="0">
            <wp:extent cx="80772" cy="82296"/>
            <wp:effectExtent l="0" t="0" r="0" b="0"/>
            <wp:docPr id="34" name="Image 34"/>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xmlns:r="http://schemas.openxmlformats.org/officeDocument/2006/relationships" r:embed="rId12" cstate="print"/>
                    <a:stretch>
                      <a:fillRect/>
                    </a:stretch>
                  </pic:blipFill>
                  <pic:spPr>
                    <a:xfrm>
                      <a:off x="0" y="0"/>
                      <a:ext cx="80772" cy="82296"/>
                    </a:xfrm>
                    <a:prstGeom prst="rect">
                      <a:avLst/>
                    </a:prstGeom>
                  </pic:spPr>
                </pic:pic>
              </a:graphicData>
            </a:graphic>
          </wp:inline>
        </w:drawing>
      </w:r>
      <w:r>
        <w:rPr>
          <w:sz w:val="18"/>
        </w:rPr>
        <w:tab/>
      </w:r>
      <w:r>
        <w:rPr>
          <w:spacing w:val="-5"/>
          <w:w w:val="110"/>
          <w:sz w:val="17"/>
        </w:rPr>
        <w:t>No</w:t>
      </w:r>
    </w:p>
    <w:p>
      <w:pPr>
        <w:pStyle w:val="BodyText"/>
        <w:spacing w:before="107" w:line="259" w:lineRule="auto"/>
        <w:ind w:left="2330"/>
      </w:pPr>
      <w:r>
        <w:rPr>
          <w:w w:val="110"/>
          <w:sz w:val="17"/>
        </w:rPr>
        <w:t>In virtù delle attuali linee guida di investimento del Fondo, quest’ultimo tiene conto, direttamente o indirettamente, di alcuni (ma non di tutti) gli impatti negativi principali elencati nell’Allegato I, Tabella I, delle Norme tecniche di regolamentazione di Livello II del SFDR (“PAI”) su tutto o parte del Fondo:</w:t>
      </w:r>
    </w:p>
    <w:p>
      <w:pPr>
        <w:pStyle w:val="BodyText"/>
        <w:spacing w:before="13"/>
      </w:pPr>
    </w:p>
    <w:p>
      <w:pPr>
        <w:pStyle w:val="ListParagraph"/>
        <w:numPr>
          <w:ilvl w:val="0"/>
          <w:numId w:val="3"/>
        </w:numPr>
        <w:tabs>
          <w:tab w:val="left" w:pos="2330"/>
          <w:tab w:val="left" w:pos="2508"/>
        </w:tabs>
        <w:spacing w:before="0" w:after="0" w:line="259" w:lineRule="auto"/>
        <w:ind w:left="2330" w:right="631" w:hanging="1"/>
        <w:jc w:val="left"/>
        <w:rPr>
          <w:sz w:val="18"/>
        </w:rPr>
      </w:pPr>
      <w:r>
        <w:rPr>
          <w:w w:val="110"/>
          <w:sz w:val="17"/>
        </w:rPr>
        <w:t>Il Fondo non investe in società che producono armi controverse in conformità con la Politica di esclusione - PAI: Esposizione ad armi controverse.</w:t>
      </w:r>
    </w:p>
    <w:p>
      <w:pPr>
        <w:pStyle w:val="BodyText"/>
        <w:spacing w:before="18"/>
      </w:pPr>
    </w:p>
    <w:p>
      <w:pPr>
        <w:pStyle w:val="ListParagraph"/>
        <w:numPr>
          <w:ilvl w:val="0"/>
          <w:numId w:val="3"/>
        </w:numPr>
        <w:tabs>
          <w:tab w:val="left" w:pos="2330"/>
          <w:tab w:val="left" w:pos="2508"/>
        </w:tabs>
        <w:spacing w:before="0" w:after="0" w:line="259" w:lineRule="auto"/>
        <w:ind w:left="2330" w:right="180" w:hanging="1"/>
        <w:jc w:val="left"/>
        <w:rPr>
          <w:sz w:val="18"/>
        </w:rPr>
      </w:pPr>
      <w:r>
        <w:rPr>
          <w:w w:val="110"/>
          <w:sz w:val="17"/>
        </w:rPr>
        <w:t>Il Fondo non investe in società principalmente coinvolte nell’estrazione di carbone termico, nella produzione di energia da carbone termico e nell’estrazione di sabbie bituminose, in conformità con la Politica di esclusione – PAI: Esposizione a società attive nel settore dei combustibili fossili; Quota di consumo e produzione di energia non rinnovabile.</w:t>
      </w:r>
    </w:p>
    <w:p>
      <w:pPr>
        <w:pStyle w:val="BodyText"/>
        <w:spacing w:before="17"/>
      </w:pPr>
    </w:p>
    <w:p>
      <w:pPr>
        <w:pStyle w:val="BodyText"/>
        <w:spacing w:line="259" w:lineRule="auto"/>
        <w:ind w:left="2330" w:right="142"/>
      </w:pPr>
      <w:r>
        <w:drawing>
          <wp:anchor distT="0" distB="0" distL="0" distR="0" simplePos="0" relativeHeight="251666432" behindDoc="0" locked="0" layoutInCell="1" allowOverlap="1">
            <wp:simplePos x="0" y="0"/>
            <wp:positionH relativeFrom="page">
              <wp:posOffset>7620</wp:posOffset>
            </wp:positionH>
            <wp:positionV relativeFrom="paragraph">
              <wp:posOffset>998521</wp:posOffset>
            </wp:positionV>
            <wp:extent cx="1423416" cy="510540"/>
            <wp:effectExtent l="0" t="0" r="0" b="0"/>
            <wp:wrapNone/>
            <wp:docPr id="35" name="Image 35"/>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xmlns:r="http://schemas.openxmlformats.org/officeDocument/2006/relationships" r:embed="rId13" cstate="print"/>
                    <a:stretch>
                      <a:fillRect/>
                    </a:stretch>
                  </pic:blipFill>
                  <pic:spPr>
                    <a:xfrm>
                      <a:off x="0" y="0"/>
                      <a:ext cx="1423416" cy="510540"/>
                    </a:xfrm>
                    <a:prstGeom prst="rect">
                      <a:avLst/>
                    </a:prstGeom>
                  </pic:spPr>
                </pic:pic>
              </a:graphicData>
            </a:graphic>
          </wp:anchor>
        </w:drawing>
      </w:r>
      <w:r>
        <w:rPr>
          <w:w w:val="110"/>
          <w:sz w:val="17"/>
        </w:rPr>
        <w:t xml:space="preserve">Sebbene tali restrizioni tengano conto di alcuni dei PAI, tale considerazione non elimina necessariamente del tutto l’esposizione del Fondo a tali PAI. Inoltre, la misura in cui tali restrizioni incidono sul processo di investimento può essere limitata qualora tali investimenti non rientrino nell’ambito dell’obiettivo di investimento del Fondo. Il Fondo si impegna inoltre a riferire periodicamente su questi Principali Impatti Negativi (PAI), includendo tale relazione nella relazione annuale del Fondo. Per ulteriori informazioni, consultare </w:t>
      </w:r>
      <w:r>
        <w:rPr>
          <w:spacing w:val="-2"/>
          <w:w w:val="110"/>
          <w:sz w:val="17"/>
        </w:rPr>
        <w:t>il sito</w:t>
      </w:r>
      <w:hyperlink r:id="rId14">
        <w:r>
          <w:rPr>
            <w:spacing w:val="-2"/>
            <w:w w:val="110"/>
            <w:sz w:val="17"/>
          </w:rPr>
          <w:t>www.wellingtonfunds.com/sfdr</w:t>
        </w:r>
      </w:hyperlink>
      <w:r>
        <w:rPr>
          <w:spacing w:val="-2"/>
          <w:w w:val="110"/>
          <w:sz w:val="17"/>
        </w:rPr>
        <w:t xml:space="preserve"> .</w:t>
      </w:r>
    </w:p>
    <w:p>
      <w:pPr>
        <w:pStyle w:val="BodyText"/>
      </w:pPr>
    </w:p>
    <w:p>
      <w:pPr>
        <w:pStyle w:val="BodyText"/>
        <w:spacing w:before="105"/>
      </w:pPr>
    </w:p>
    <w:p>
      <w:pPr>
        <w:pStyle w:val="Heading2"/>
        <w:ind w:left="2337"/>
      </w:pPr>
      <w:r>
        <w:rPr>
          <w:color w:val="1A365D"/>
          <w:w w:val="105"/>
          <w:sz w:val="18"/>
        </w:rPr>
        <w:t>Quale strategia di investimento segue questo prodotto finanziario?</w:t>
      </w:r>
    </w:p>
    <w:p>
      <w:pPr>
        <w:pStyle w:val="BodyText"/>
        <w:spacing w:before="221"/>
        <w:rPr>
          <w:b/>
          <w:sz w:val="20"/>
        </w:rPr>
      </w:pPr>
    </w:p>
    <w:p>
      <w:pPr>
        <w:pStyle w:val="BodyText"/>
        <w:spacing w:before="1" w:line="259" w:lineRule="auto"/>
        <w:ind w:left="2397" w:right="329"/>
      </w:pPr>
      <w:r>
        <mc:AlternateContent>
          <mc:Choice Requires="wps">
            <w:drawing>
              <wp:anchor distT="0" distB="0" distL="0" distR="0" simplePos="0" relativeHeight="251667456" behindDoc="0" locked="0" layoutInCell="1" allowOverlap="1">
                <wp:simplePos x="0" y="0"/>
                <wp:positionH relativeFrom="page">
                  <wp:posOffset>9143</wp:posOffset>
                </wp:positionH>
                <wp:positionV relativeFrom="paragraph">
                  <wp:posOffset>-34478</wp:posOffset>
                </wp:positionV>
                <wp:extent cx="1278890" cy="803275"/>
                <wp:effectExtent l="0" t="0" r="0" b="0"/>
                <wp:wrapNone/>
                <wp:docPr id="36" name="Textbox 36"/>
                <wp:cNvGraphicFramePr/>
                <a:graphic xmlns:a="http://schemas.openxmlformats.org/drawingml/2006/main">
                  <a:graphicData uri="http://schemas.microsoft.com/office/word/2010/wordprocessingShape">
                    <wps:wsp xmlns:wps="http://schemas.microsoft.com/office/word/2010/wordprocessingShape">
                      <wps:cNvSpPr txBox="1"/>
                      <wps:spPr>
                        <a:xfrm>
                          <a:off x="0" y="0"/>
                          <a:ext cx="1278890" cy="803275"/>
                        </a:xfrm>
                        <a:prstGeom prst="rect">
                          <a:avLst/>
                        </a:prstGeom>
                        <a:solidFill>
                          <a:srgbClr val="DBD8D6"/>
                        </a:solidFill>
                      </wps:spPr>
                      <wps:txbx>
                        <w:txbxContent>
                          <w:p>
                            <w:pPr>
                              <w:spacing w:before="50" w:line="259" w:lineRule="auto"/>
                              <w:ind w:left="38" w:right="86" w:firstLine="0"/>
                              <w:jc w:val="left"/>
                              <w:rPr>
                                <w:sz w:val="16"/>
                              </w:rPr>
                            </w:pPr>
                            <w:r>
                              <w:rPr>
                                <w:b/>
                                <w:color w:val="3382A8"/>
                                <w:w w:val="110"/>
                                <w:sz w:val="15"/>
                              </w:rPr>
                              <w:t xml:space="preserve">La strategia di investimento </w:t>
                            </w:r>
                            <w:r>
                              <w:rPr>
                                <w:w w:val="110"/>
                                <w:sz w:val="15"/>
                              </w:rPr>
                              <w:t>guida le decisioni di investimento sulla base di fattori quali gli obiettivi di investimento e la tolleranza al rischio.</w:t>
                            </w:r>
                          </w:p>
                        </w:txbxContent>
                      </wps:txbx>
                      <wps:bodyPr wrap="square" lIns="0" tIns="0" rIns="0" bIns="0" rtlCol="0"/>
                    </wps:wsp>
                  </a:graphicData>
                </a:graphic>
              </wp:anchor>
            </w:drawing>
          </mc:Choice>
          <mc:Fallback>
            <w:pict>
              <v:shape id="_x0000_s1045" type="#_x0000_t202" style="width:100.7pt;height:63.25pt;margin-top:-2.71pt;margin-left:0.72pt;mso-position-horizontal-relative:page;position:absolute;z-index:251668480" filled="t" fillcolor="#dbd8d6" stroked="f">
                <v:fill type="solid"/>
                <v:textbox inset="0,0,0,0">
                  <w:txbxContent>
                    <w:p>
                      <w:pPr>
                        <w:spacing w:before="50" w:line="259" w:lineRule="auto"/>
                        <w:ind w:left="38" w:right="86" w:firstLine="0"/>
                        <w:jc w:val="left"/>
                        <w:rPr>
                          <w:sz w:val="16"/>
                        </w:rPr>
                      </w:pPr>
                      <w:r>
                        <w:rPr>
                          <w:b/>
                          <w:color w:val="3382A8"/>
                          <w:w w:val="110"/>
                          <w:sz w:val="16"/>
                        </w:rPr>
                        <w:t xml:space="preserve">La strategia di investimento </w:t>
                      </w:r>
                      <w:r>
                        <w:rPr>
                          <w:w w:val="110"/>
                          <w:sz w:val="16"/>
                        </w:rPr>
                        <w:t>guida le decisioni di investimento sulla base di fattori quali gli obiettivi di investimento e la tolleranza al rischio.</w:t>
                      </w:r>
                    </w:p>
                  </w:txbxContent>
                </v:textbox>
              </v:shape>
            </w:pict>
          </mc:Fallback>
        </mc:AlternateContent>
      </w:r>
      <w:r>
        <w:rPr>
          <w:w w:val="110"/>
          <w:sz w:val="17"/>
        </w:rPr>
        <w:t>La strategia di investimento utilizzata per raggiungere le caratteristiche ambientali e/o sociali promosse dal Fondo è descritta di seguito.</w:t>
      </w:r>
    </w:p>
    <w:p>
      <w:pPr>
        <w:pStyle w:val="BodyText"/>
        <w:spacing w:before="15"/>
      </w:pPr>
    </w:p>
    <w:p>
      <w:pPr>
        <w:pStyle w:val="BodyText"/>
        <w:spacing w:line="261" w:lineRule="auto"/>
        <w:ind w:left="2397" w:right="142"/>
      </w:pPr>
      <w:r>
        <w:rPr>
          <w:w w:val="110"/>
          <w:sz w:val="17"/>
        </w:rPr>
        <w:t>Il Fondo manterrà un rating S medio ponderato complessivo superiore a quello dell’Indice, utilizzando una scala di rating da 1 a 5, dove 1 è il rating più alto.</w:t>
      </w:r>
    </w:p>
    <w:p>
      <w:pPr>
        <w:pStyle w:val="BodyText"/>
        <w:spacing w:before="14"/>
      </w:pPr>
    </w:p>
    <w:p>
      <w:pPr>
        <w:pStyle w:val="BodyText"/>
        <w:spacing w:line="259" w:lineRule="auto"/>
        <w:ind w:left="2397"/>
      </w:pPr>
      <w:r>
        <w:rPr>
          <w:w w:val="110"/>
          <w:sz w:val="17"/>
        </w:rPr>
        <w:t>Il Fondo applica la Politica di Esclusione che individua gli emittenti da escludere qualora, sulla base di una combinazione di analisi di terze parti e/o interne, siano stati identificati come aventi un livello predefinito di coinvolgimento nelle seguenti aree:</w:t>
      </w:r>
    </w:p>
    <w:p>
      <w:pPr>
        <w:pStyle w:val="BodyText"/>
        <w:spacing w:before="17"/>
      </w:pPr>
    </w:p>
    <w:p>
      <w:pPr>
        <w:pStyle w:val="ListParagraph"/>
        <w:numPr>
          <w:ilvl w:val="0"/>
          <w:numId w:val="2"/>
        </w:numPr>
        <w:tabs>
          <w:tab w:val="left" w:pos="2579"/>
        </w:tabs>
        <w:spacing w:before="0" w:after="0" w:line="259" w:lineRule="auto"/>
        <w:ind w:left="2397" w:right="258" w:firstLine="0"/>
        <w:jc w:val="left"/>
        <w:rPr>
          <w:sz w:val="18"/>
        </w:rPr>
      </w:pPr>
      <w:r>
        <w:rPr>
          <w:w w:val="110"/>
          <w:sz w:val="17"/>
        </w:rPr>
        <w:t>Produzione di armi controverse, tra cui munizioni a grappolo, mine terrestri, armi biologiche/chimiche, armi all’uranio impoverito, armi laser accecanti, armi incendiarie e/o frammenti non rilevabili;</w:t>
      </w:r>
    </w:p>
    <w:p>
      <w:pPr>
        <w:pStyle w:val="ListParagraph"/>
        <w:spacing w:after="0" w:line="259" w:lineRule="auto"/>
        <w:jc w:val="left"/>
        <w:rPr>
          <w:sz w:val="18"/>
        </w:rPr>
        <w:sectPr>
          <w:headerReference w:type="default" r:id="rId15"/>
          <w:footerReference w:type="default" r:id="rId16"/>
          <w:pgSz w:w="11910" w:h="16840"/>
          <w:pgMar w:top="900" w:right="708" w:bottom="1000" w:left="0" w:header="10" w:footer="804"/>
          <w:cols w:space="708"/>
        </w:sectPr>
      </w:pPr>
    </w:p>
    <w:p>
      <w:pPr>
        <w:pStyle w:val="BodyText"/>
        <w:spacing w:before="189"/>
      </w:pPr>
    </w:p>
    <w:p>
      <w:pPr>
        <w:pStyle w:val="ListParagraph"/>
        <w:numPr>
          <w:ilvl w:val="0"/>
          <w:numId w:val="2"/>
        </w:numPr>
        <w:tabs>
          <w:tab w:val="left" w:pos="2579"/>
        </w:tabs>
        <w:spacing w:before="0" w:after="0" w:line="240" w:lineRule="auto"/>
        <w:ind w:left="2579" w:right="0" w:hanging="182"/>
        <w:jc w:val="left"/>
        <w:rPr>
          <w:sz w:val="18"/>
        </w:rPr>
      </w:pPr>
      <w:r>
        <w:rPr>
          <w:w w:val="110"/>
          <w:sz w:val="17"/>
        </w:rPr>
        <w:t>Produzione di armi nucleari;</w:t>
      </w:r>
    </w:p>
    <w:p>
      <w:pPr>
        <w:pStyle w:val="ListParagraph"/>
        <w:numPr>
          <w:ilvl w:val="0"/>
          <w:numId w:val="2"/>
        </w:numPr>
        <w:tabs>
          <w:tab w:val="left" w:pos="2579"/>
        </w:tabs>
        <w:spacing w:before="16" w:after="0" w:line="240" w:lineRule="auto"/>
        <w:ind w:left="2579" w:right="0" w:hanging="182"/>
        <w:jc w:val="left"/>
        <w:rPr>
          <w:sz w:val="18"/>
        </w:rPr>
      </w:pPr>
      <w:r>
        <w:rPr>
          <w:w w:val="110"/>
          <w:sz w:val="17"/>
        </w:rPr>
        <w:t>Produzione, distribuzione, vendita al dettaglio o fornitura di prodotti correlati al tabacco;</w:t>
      </w:r>
    </w:p>
    <w:p>
      <w:pPr>
        <w:pStyle w:val="ListParagraph"/>
        <w:numPr>
          <w:ilvl w:val="0"/>
          <w:numId w:val="2"/>
        </w:numPr>
        <w:tabs>
          <w:tab w:val="left" w:pos="2579"/>
        </w:tabs>
        <w:spacing w:before="16" w:after="0" w:line="240" w:lineRule="auto"/>
        <w:ind w:left="2579" w:right="0" w:hanging="182"/>
        <w:jc w:val="left"/>
        <w:rPr>
          <w:sz w:val="18"/>
        </w:rPr>
      </w:pPr>
      <w:r>
        <w:rPr>
          <w:w w:val="110"/>
          <w:sz w:val="17"/>
        </w:rPr>
        <w:t>Estrazione di carbone termico o produzione di energia elettrica a base di carbone termico; e</w:t>
      </w:r>
    </w:p>
    <w:p>
      <w:pPr>
        <w:pStyle w:val="ListParagraph"/>
        <w:numPr>
          <w:ilvl w:val="0"/>
          <w:numId w:val="2"/>
        </w:numPr>
        <w:tabs>
          <w:tab w:val="left" w:pos="2579"/>
        </w:tabs>
        <w:spacing w:before="16" w:after="0" w:line="240" w:lineRule="auto"/>
        <w:ind w:left="2579" w:right="0" w:hanging="182"/>
        <w:jc w:val="left"/>
        <w:rPr>
          <w:sz w:val="18"/>
        </w:rPr>
      </w:pPr>
      <w:r>
        <w:rPr>
          <w:w w:val="110"/>
          <w:sz w:val="17"/>
        </w:rPr>
        <w:t>Produzione e estrazione di sabbie bituminose (note anche come sabbie di catrame).</w:t>
      </w:r>
    </w:p>
    <w:p>
      <w:pPr>
        <w:pStyle w:val="BodyText"/>
        <w:spacing w:before="28"/>
      </w:pPr>
    </w:p>
    <w:p>
      <w:pPr>
        <w:pStyle w:val="BodyText"/>
        <w:spacing w:line="259" w:lineRule="auto"/>
        <w:ind w:left="2397" w:right="329"/>
      </w:pPr>
      <w:r>
        <w:rPr>
          <w:w w:val="110"/>
          <w:sz w:val="17"/>
        </w:rPr>
        <w:t>Ulteriori dettagli su come Wellington Management individua e attua le esclusioni, compresi i dettagli completi relativi alle soglie di partecipazione, sono disponibili nella sezione del Prospetto intitolata “Esclusioni”.</w:t>
      </w:r>
    </w:p>
    <w:p>
      <w:pPr>
        <w:pStyle w:val="Heading3"/>
        <w:spacing w:before="131" w:line="249" w:lineRule="auto"/>
        <w:ind w:left="2762" w:right="142"/>
      </w:pPr>
      <w:r>
        <w:rPr>
          <w:color w:val="1A365D"/>
          <w:w w:val="110"/>
          <w:sz w:val="18"/>
        </w:rPr>
        <w:t>Quali sono gli elementi vincolanti della strategia di investimento utilizzati per selezionare gli investimenti al fine di raggiungere ciascuna delle caratteristiche ambientali o sociali promosse da questo prodotto finanziario?</w:t>
      </w:r>
    </w:p>
    <w:p>
      <w:pPr>
        <w:pStyle w:val="BodyText"/>
        <w:spacing w:before="91"/>
        <w:ind w:left="2762"/>
      </w:pPr>
      <w:r>
        <w:rPr>
          <w:w w:val="110"/>
          <w:sz w:val="17"/>
        </w:rPr>
        <w:t>Il Fondo manterrà un rating S medio ponderato complessivo superiore a quello dell’Indice.</w:t>
      </w:r>
    </w:p>
    <w:p>
      <w:pPr>
        <w:pStyle w:val="Heading3"/>
        <w:spacing w:before="149" w:line="252" w:lineRule="auto"/>
        <w:ind w:left="2767" w:right="223"/>
      </w:pPr>
      <w:r>
        <w:rPr>
          <w:color w:val="1A365D"/>
          <w:w w:val="110"/>
          <w:sz w:val="18"/>
        </w:rPr>
        <w:t>Qual è il tasso minimo impegnato per ridurre l’ambito degli investimenti presi in considerazione prima dell’applicazione di tale strategia di investimento?</w:t>
      </w:r>
    </w:p>
    <w:p>
      <w:pPr>
        <w:pStyle w:val="BodyText"/>
        <w:spacing w:before="85" w:line="259" w:lineRule="auto"/>
        <w:ind w:left="2767"/>
      </w:pPr>
      <w:r>
        <w:rPr>
          <w:w w:val="110"/>
          <w:sz w:val="17"/>
        </w:rPr>
        <w:t>Non applicabile. Il Fondo non si impegna attualmente a ridurre l’ambito degli investimenti di una percentuale minima.</w:t>
      </w:r>
    </w:p>
    <w:p>
      <w:pPr>
        <w:pStyle w:val="Heading3"/>
        <w:spacing w:before="146"/>
        <w:ind w:left="2767"/>
      </w:pPr>
      <w:r>
        <mc:AlternateContent>
          <mc:Choice Requires="wps">
            <w:drawing>
              <wp:anchor distT="0" distB="0" distL="0" distR="0" simplePos="0" relativeHeight="251674624" behindDoc="0" locked="0" layoutInCell="1" allowOverlap="1">
                <wp:simplePos x="0" y="0"/>
                <wp:positionH relativeFrom="page">
                  <wp:posOffset>9143</wp:posOffset>
                </wp:positionH>
                <wp:positionV relativeFrom="paragraph">
                  <wp:posOffset>56337</wp:posOffset>
                </wp:positionV>
                <wp:extent cx="1278890" cy="805180"/>
                <wp:effectExtent l="0" t="0" r="0" b="0"/>
                <wp:wrapNone/>
                <wp:docPr id="37" name="Textbox 37"/>
                <wp:cNvGraphicFramePr/>
                <a:graphic xmlns:a="http://schemas.openxmlformats.org/drawingml/2006/main">
                  <a:graphicData uri="http://schemas.microsoft.com/office/word/2010/wordprocessingShape">
                    <wps:wsp xmlns:wps="http://schemas.microsoft.com/office/word/2010/wordprocessingShape">
                      <wps:cNvSpPr txBox="1"/>
                      <wps:spPr>
                        <a:xfrm>
                          <a:off x="0" y="0"/>
                          <a:ext cx="1278890" cy="805180"/>
                        </a:xfrm>
                        <a:prstGeom prst="rect">
                          <a:avLst/>
                        </a:prstGeom>
                        <a:solidFill>
                          <a:srgbClr val="DBD8D6"/>
                        </a:solidFill>
                      </wps:spPr>
                      <wps:txbx>
                        <w:txbxContent>
                          <w:p>
                            <w:pPr>
                              <w:spacing w:before="45" w:line="259" w:lineRule="auto"/>
                              <w:ind w:left="38" w:right="86" w:firstLine="0"/>
                              <w:jc w:val="left"/>
                              <w:rPr>
                                <w:sz w:val="16"/>
                              </w:rPr>
                            </w:pPr>
                            <w:r>
                              <w:rPr>
                                <w:w w:val="110"/>
                                <w:sz w:val="15"/>
                              </w:rPr>
                              <w:t>Le</w:t>
                            </w:r>
                            <w:r>
                              <w:rPr>
                                <w:b/>
                                <w:color w:val="3382A8"/>
                                <w:w w:val="110"/>
                                <w:sz w:val="15"/>
                              </w:rPr>
                              <w:t xml:space="preserve"> buone </w:t>
                            </w:r>
                            <w:r>
                              <w:rPr>
                                <w:w w:val="110"/>
                                <w:sz w:val="15"/>
                              </w:rPr>
                              <w:t>pratiche</w:t>
                            </w:r>
                            <w:r>
                              <w:rPr>
                                <w:b/>
                                <w:color w:val="3382A8"/>
                                <w:w w:val="110"/>
                                <w:sz w:val="15"/>
                              </w:rPr>
                              <w:t xml:space="preserve"> di governance </w:t>
                            </w:r>
                            <w:r>
                              <w:rPr>
                                <w:w w:val="110"/>
                                <w:sz w:val="15"/>
                              </w:rPr>
                              <w:t>includono solide strutture gestionali, relazioni con i dipendenti, remunerazione del personale e conformità fiscale.</w:t>
                            </w:r>
                          </w:p>
                        </w:txbxContent>
                      </wps:txbx>
                      <wps:bodyPr wrap="square" lIns="0" tIns="0" rIns="0" bIns="0" rtlCol="0"/>
                    </wps:wsp>
                  </a:graphicData>
                </a:graphic>
              </wp:anchor>
            </w:drawing>
          </mc:Choice>
          <mc:Fallback>
            <w:pict>
              <v:shape id="_x0000_s1046" type="#_x0000_t202" style="width:100.7pt;height:63.4pt;margin-top:4.44pt;margin-left:0.72pt;mso-position-horizontal-relative:page;position:absolute;z-index:251675648" filled="t" fillcolor="#dbd8d6" stroked="f">
                <v:fill type="solid"/>
                <v:textbox inset="0,0,0,0">
                  <w:txbxContent>
                    <w:p>
                      <w:pPr>
                        <w:spacing w:before="45" w:line="259" w:lineRule="auto"/>
                        <w:ind w:left="38" w:right="86" w:firstLine="0"/>
                        <w:jc w:val="left"/>
                        <w:rPr>
                          <w:sz w:val="16"/>
                        </w:rPr>
                      </w:pPr>
                      <w:r>
                        <w:rPr>
                          <w:w w:val="110"/>
                          <w:sz w:val="16"/>
                        </w:rPr>
                        <w:t>Le</w:t>
                      </w:r>
                      <w:r>
                        <w:rPr>
                          <w:b/>
                          <w:color w:val="3382A8"/>
                          <w:w w:val="110"/>
                          <w:sz w:val="16"/>
                        </w:rPr>
                        <w:t xml:space="preserve"> buone </w:t>
                      </w:r>
                      <w:r>
                        <w:rPr>
                          <w:w w:val="110"/>
                          <w:sz w:val="16"/>
                        </w:rPr>
                        <w:t>pratiche</w:t>
                      </w:r>
                      <w:r>
                        <w:rPr>
                          <w:b/>
                          <w:color w:val="3382A8"/>
                          <w:w w:val="110"/>
                          <w:sz w:val="16"/>
                        </w:rPr>
                        <w:t xml:space="preserve"> di governance </w:t>
                      </w:r>
                      <w:r>
                        <w:rPr>
                          <w:w w:val="110"/>
                          <w:sz w:val="16"/>
                        </w:rPr>
                        <w:t>comprendono solide strutture gestionali, relazioni con i dipendenti, remunerazione del personale e conformità fiscale.</w:t>
                      </w:r>
                    </w:p>
                  </w:txbxContent>
                </v:textbox>
              </v:shape>
            </w:pict>
          </mc:Fallback>
        </mc:AlternateContent>
      </w:r>
      <w:r>
        <w:rPr>
          <w:color w:val="1A365D"/>
          <w:sz w:val="18"/>
        </w:rPr>
        <w:t>Qual è la politica per valutare le buone pratiche di governance delle società partecipate?</w:t>
      </w:r>
    </w:p>
    <w:p>
      <w:pPr>
        <w:pStyle w:val="BodyText"/>
        <w:spacing w:before="108" w:line="259" w:lineRule="auto"/>
        <w:ind w:left="2767" w:right="150"/>
      </w:pPr>
      <w:r>
        <w:rPr>
          <w:w w:val="110"/>
          <w:sz w:val="17"/>
        </w:rPr>
        <w:t>Le buone pratiche di governance delle società partecipate vengono valutate dal Gestore degli investimenti alla luce di una serie di fattori, tra cui, ove materialmente rilevanti, le strutture gestionali e il processo decisionale, la responsabilità nei confronti degli azionisti, le strutture retributive, la cultura aziendale, la conformità alla normativa applicabile e l’assenza di eventi negativi che potrebbero avere un impatto negativo rilevante sui rendimenti finanziari della società. Nel valutare la buona governance, il Gestore degli investimenti tiene conto dei propri rating G, ove disponibili, in conformità con la propria Politica di valutazione della buona governance.</w:t>
      </w:r>
    </w:p>
    <w:p>
      <w:pPr>
        <w:pStyle w:val="BodyText"/>
        <w:spacing w:before="6"/>
        <w:ind w:left="2767"/>
      </w:pPr>
      <w:r>
        <w:drawing>
          <wp:anchor distT="0" distB="0" distL="0" distR="0" simplePos="0" relativeHeight="251671552" behindDoc="0" locked="0" layoutInCell="1" allowOverlap="1">
            <wp:simplePos x="0" y="0"/>
            <wp:positionH relativeFrom="page">
              <wp:posOffset>7620</wp:posOffset>
            </wp:positionH>
            <wp:positionV relativeFrom="paragraph">
              <wp:posOffset>250630</wp:posOffset>
            </wp:positionV>
            <wp:extent cx="1449324" cy="524255"/>
            <wp:effectExtent l="0" t="0" r="0" b="0"/>
            <wp:wrapNone/>
            <wp:docPr id="38" name="Image 38"/>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xmlns:r="http://schemas.openxmlformats.org/officeDocument/2006/relationships" r:embed="rId17" cstate="print"/>
                    <a:stretch>
                      <a:fillRect/>
                    </a:stretch>
                  </pic:blipFill>
                  <pic:spPr>
                    <a:xfrm>
                      <a:off x="0" y="0"/>
                      <a:ext cx="1449324" cy="524255"/>
                    </a:xfrm>
                    <a:prstGeom prst="rect">
                      <a:avLst/>
                    </a:prstGeom>
                  </pic:spPr>
                </pic:pic>
              </a:graphicData>
            </a:graphic>
          </wp:anchor>
        </w:drawing>
      </w:r>
      <w:r>
        <w:rPr>
          <w:w w:val="110"/>
          <w:sz w:val="17"/>
        </w:rPr>
        <w:t>Tali rating si basano su una combinazione di dati interni e/o esterni.</w:t>
      </w:r>
    </w:p>
    <w:p>
      <w:pPr>
        <w:pStyle w:val="BodyText"/>
      </w:pPr>
    </w:p>
    <w:p>
      <w:pPr>
        <w:pStyle w:val="BodyText"/>
        <w:spacing w:before="63"/>
      </w:pPr>
    </w:p>
    <w:p>
      <w:pPr>
        <w:pStyle w:val="Heading2"/>
        <w:ind w:left="2359"/>
      </w:pPr>
      <w:r>
        <w:rPr>
          <w:color w:val="1A365D"/>
          <w:w w:val="105"/>
          <w:sz w:val="18"/>
        </w:rPr>
        <w:t>Qual è l’allocazione degli attivi prevista per questo prodotto finanziario?</w:t>
      </w:r>
    </w:p>
    <w:p>
      <w:pPr>
        <w:pStyle w:val="BodyText"/>
        <w:rPr>
          <w:b/>
          <w:sz w:val="20"/>
        </w:rPr>
      </w:pPr>
    </w:p>
    <w:p>
      <w:pPr>
        <w:pStyle w:val="BodyText"/>
        <w:spacing w:before="1"/>
        <w:rPr>
          <w:b/>
          <w:sz w:val="20"/>
        </w:rPr>
      </w:pPr>
    </w:p>
    <w:p>
      <w:pPr>
        <w:pStyle w:val="BodyText"/>
        <w:spacing w:line="259" w:lineRule="auto"/>
        <w:ind w:left="2390"/>
      </w:pPr>
      <w:r>
        <mc:AlternateContent>
          <mc:Choice Requires="wps">
            <w:drawing>
              <wp:anchor distT="0" distB="0" distL="0" distR="0" simplePos="0" relativeHeight="251672576" behindDoc="0" locked="0" layoutInCell="1" allowOverlap="1">
                <wp:simplePos x="0" y="0"/>
                <wp:positionH relativeFrom="page">
                  <wp:posOffset>9144</wp:posOffset>
                </wp:positionH>
                <wp:positionV relativeFrom="paragraph">
                  <wp:posOffset>-31873</wp:posOffset>
                </wp:positionV>
                <wp:extent cx="1268095" cy="428625"/>
                <wp:effectExtent l="0" t="0" r="0" b="0"/>
                <wp:wrapNone/>
                <wp:docPr id="39" name="Textbox 39"/>
                <wp:cNvGraphicFramePr/>
                <a:graphic xmlns:a="http://schemas.openxmlformats.org/drawingml/2006/main">
                  <a:graphicData uri="http://schemas.microsoft.com/office/word/2010/wordprocessingShape">
                    <wps:wsp xmlns:wps="http://schemas.microsoft.com/office/word/2010/wordprocessingShape">
                      <wps:cNvSpPr txBox="1"/>
                      <wps:spPr>
                        <a:xfrm>
                          <a:off x="0" y="0"/>
                          <a:ext cx="1268095" cy="428625"/>
                        </a:xfrm>
                        <a:prstGeom prst="rect">
                          <a:avLst/>
                        </a:prstGeom>
                        <a:solidFill>
                          <a:srgbClr val="DBD8D6"/>
                        </a:solidFill>
                      </wps:spPr>
                      <wps:txbx>
                        <w:txbxContent>
                          <w:p>
                            <w:pPr>
                              <w:spacing w:before="50" w:line="259" w:lineRule="auto"/>
                              <w:ind w:left="38" w:right="49" w:firstLine="0"/>
                              <w:jc w:val="both"/>
                              <w:rPr>
                                <w:sz w:val="16"/>
                              </w:rPr>
                            </w:pPr>
                            <w:r>
                              <w:rPr>
                                <w:b/>
                                <w:color w:val="3382A8"/>
                                <w:w w:val="110"/>
                                <w:sz w:val="15"/>
                              </w:rPr>
                              <w:t xml:space="preserve">L’allocazione degli attivi </w:t>
                            </w:r>
                            <w:r>
                              <w:rPr>
                                <w:w w:val="110"/>
                                <w:sz w:val="15"/>
                              </w:rPr>
                              <w:t>descrive la quota di investimenti in specifici attivi.</w:t>
                            </w:r>
                          </w:p>
                        </w:txbxContent>
                      </wps:txbx>
                      <wps:bodyPr wrap="square" lIns="0" tIns="0" rIns="0" bIns="0" rtlCol="0"/>
                    </wps:wsp>
                  </a:graphicData>
                </a:graphic>
              </wp:anchor>
            </w:drawing>
          </mc:Choice>
          <mc:Fallback>
            <w:pict>
              <v:shape id="_x0000_s1047" type="#_x0000_t202" style="width:99.85pt;height:33.75pt;margin-top:-2.51pt;margin-left:0.72pt;mso-position-horizontal-relative:page;position:absolute;z-index:251673600" filled="t" fillcolor="#dbd8d6" stroked="f">
                <v:fill type="solid"/>
                <v:textbox inset="0,0,0,0">
                  <w:txbxContent>
                    <w:p>
                      <w:pPr>
                        <w:spacing w:before="50" w:line="259" w:lineRule="auto"/>
                        <w:ind w:left="38" w:right="49" w:firstLine="0"/>
                        <w:jc w:val="both"/>
                        <w:rPr>
                          <w:sz w:val="16"/>
                        </w:rPr>
                      </w:pPr>
                      <w:r>
                        <w:rPr>
                          <w:b/>
                          <w:color w:val="3382A8"/>
                          <w:w w:val="110"/>
                          <w:sz w:val="16"/>
                        </w:rPr>
                        <w:t xml:space="preserve">L’allocazione degli attivi </w:t>
                      </w:r>
                      <w:r>
                        <w:rPr>
                          <w:w w:val="110"/>
                          <w:sz w:val="16"/>
                        </w:rPr>
                        <w:t>descrive la quota di investimenti in specifici attivi.</w:t>
                      </w:r>
                    </w:p>
                  </w:txbxContent>
                </v:textbox>
              </v:shape>
            </w:pict>
          </mc:Fallback>
        </mc:AlternateContent>
      </w:r>
      <w:r>
        <w:rPr>
          <w:w w:val="110"/>
          <w:sz w:val="17"/>
        </w:rPr>
        <w:t>In condizioni di mercato normali, almeno il 60% del patrimonio netto del Fondo sarà allineato alle caratteristiche ambientali e sociali (E/S) del Fondo.</w:t>
      </w:r>
    </w:p>
    <w:p>
      <w:pPr>
        <w:pStyle w:val="BodyText"/>
        <w:spacing w:before="15"/>
      </w:pPr>
    </w:p>
    <w:p>
      <w:pPr>
        <w:pStyle w:val="BodyText"/>
        <w:spacing w:line="259" w:lineRule="auto"/>
        <w:ind w:left="2390" w:right="226"/>
      </w:pPr>
      <w:r>
        <w:rPr>
          <w:w w:val="110"/>
          <w:sz w:val="17"/>
        </w:rPr>
        <w:t>Occasionalmente, a causa di possibili disallineamenti di regolamento legati ai flussi degli investitori o a giorni di chiusura dei mercati in periodi in cui si registrano sottoscrizioni di importo rilevante, la quota del Fondo non allineata alle caratteristiche ambientali o sociali potrebbe influire sulla capacità del Fondo di rispettare l’impegno sopra descritto in condizioni di mercato normali. Il Gestore degli investimenti non ritiene che tali fluttuazioni a breve termine incidano in modo significativo sulla capacità del Fondo di raggiungere le proprie caratteristiche ambientali o sociali.</w:t>
      </w:r>
    </w:p>
    <w:p>
      <w:pPr>
        <w:pStyle w:val="BodyText"/>
        <w:spacing w:before="1"/>
        <w:rPr>
          <w:sz w:val="4"/>
        </w:rPr>
      </w:pPr>
      <w:r>
        <w:rPr>
          <w:sz w:val="4"/>
        </w:rPr>
        <mc:AlternateContent>
          <mc:Choice Requires="wps">
            <w:drawing>
              <wp:anchor distT="0" distB="0" distL="0" distR="0" simplePos="0" relativeHeight="251717632" behindDoc="1" locked="0" layoutInCell="1" allowOverlap="1">
                <wp:simplePos x="0" y="0"/>
                <wp:positionH relativeFrom="page">
                  <wp:posOffset>9144</wp:posOffset>
                </wp:positionH>
                <wp:positionV relativeFrom="paragraph">
                  <wp:posOffset>45107</wp:posOffset>
                </wp:positionV>
                <wp:extent cx="1270000" cy="2194560"/>
                <wp:effectExtent l="0" t="0" r="0" b="0"/>
                <wp:wrapTopAndBottom/>
                <wp:docPr id="40" name="Textbox 40"/>
                <wp:cNvGraphicFramePr/>
                <a:graphic xmlns:a="http://schemas.openxmlformats.org/drawingml/2006/main">
                  <a:graphicData uri="http://schemas.microsoft.com/office/word/2010/wordprocessingShape">
                    <wps:wsp xmlns:wps="http://schemas.microsoft.com/office/word/2010/wordprocessingShape">
                      <wps:cNvSpPr txBox="1"/>
                      <wps:spPr>
                        <a:xfrm>
                          <a:off x="0" y="0"/>
                          <a:ext cx="1270000" cy="2194560"/>
                        </a:xfrm>
                        <a:prstGeom prst="rect">
                          <a:avLst/>
                        </a:prstGeom>
                        <a:solidFill>
                          <a:srgbClr val="DBD8D6"/>
                        </a:solidFill>
                      </wps:spPr>
                      <wps:txbx>
                        <w:txbxContent>
                          <w:p>
                            <w:pPr>
                              <w:spacing w:before="52" w:line="259" w:lineRule="auto"/>
                              <w:ind w:left="38" w:right="133" w:firstLine="0"/>
                              <w:jc w:val="left"/>
                              <w:rPr>
                                <w:sz w:val="16"/>
                              </w:rPr>
                            </w:pPr>
                            <w:r>
                              <w:rPr>
                                <w:spacing w:val="-2"/>
                                <w:w w:val="110"/>
                                <w:sz w:val="15"/>
                              </w:rPr>
                              <w:t>Le attività allineate alla tassonomia sono espresse come quota del:</w:t>
                            </w:r>
                          </w:p>
                          <w:p>
                            <w:pPr>
                              <w:numPr>
                                <w:ilvl w:val="0"/>
                                <w:numId w:val="1"/>
                              </w:numPr>
                              <w:tabs>
                                <w:tab w:val="left" w:pos="128"/>
                              </w:tabs>
                              <w:spacing w:before="0" w:line="259" w:lineRule="auto"/>
                              <w:ind w:left="38" w:right="87" w:firstLine="0"/>
                              <w:jc w:val="left"/>
                              <w:rPr>
                                <w:sz w:val="16"/>
                              </w:rPr>
                            </w:pPr>
                            <w:r>
                              <w:rPr>
                                <w:b/>
                                <w:color w:val="3382A8"/>
                                <w:w w:val="110"/>
                                <w:sz w:val="15"/>
                              </w:rPr>
                              <w:t xml:space="preserve">fatturato, </w:t>
                            </w:r>
                            <w:r>
                              <w:rPr>
                                <w:w w:val="110"/>
                                <w:sz w:val="15"/>
                              </w:rPr>
                              <w:t>che riflette la quota di ricavi derivante dalle attività verdi delle società partecipate</w:t>
                            </w:r>
                          </w:p>
                          <w:p>
                            <w:pPr>
                              <w:numPr>
                                <w:ilvl w:val="0"/>
                                <w:numId w:val="1"/>
                              </w:numPr>
                              <w:tabs>
                                <w:tab w:val="left" w:pos="128"/>
                              </w:tabs>
                              <w:spacing w:before="1" w:line="259" w:lineRule="auto"/>
                              <w:ind w:left="38" w:right="34" w:firstLine="0"/>
                              <w:jc w:val="left"/>
                              <w:rPr>
                                <w:sz w:val="16"/>
                              </w:rPr>
                            </w:pPr>
                            <w:r>
                              <w:rPr>
                                <w:b/>
                                <w:color w:val="3382A8"/>
                                <w:w w:val="110"/>
                                <w:sz w:val="15"/>
                              </w:rPr>
                              <w:t xml:space="preserve">spese in conto capitale </w:t>
                            </w:r>
                            <w:r>
                              <w:rPr>
                                <w:w w:val="110"/>
                                <w:sz w:val="15"/>
                              </w:rPr>
                              <w:t>(CapEx), che indicano gli investimenti «verdi» effettuati dalle società partecipate, ad esempio per la transizione verso un’economia verde.</w:t>
                            </w:r>
                          </w:p>
                          <w:p>
                            <w:pPr>
                              <w:numPr>
                                <w:ilvl w:val="0"/>
                                <w:numId w:val="1"/>
                              </w:numPr>
                              <w:tabs>
                                <w:tab w:val="left" w:pos="128"/>
                              </w:tabs>
                              <w:spacing w:before="0" w:line="256" w:lineRule="auto"/>
                              <w:ind w:left="38" w:right="111" w:firstLine="0"/>
                              <w:jc w:val="left"/>
                              <w:rPr>
                                <w:sz w:val="16"/>
                              </w:rPr>
                            </w:pPr>
                            <w:r>
                              <w:rPr>
                                <w:b/>
                                <w:color w:val="3382A8"/>
                                <w:sz w:val="15"/>
                              </w:rPr>
                              <w:t xml:space="preserve">spese operative </w:t>
                            </w:r>
                            <w:r>
                              <w:rPr>
                                <w:w w:val="110"/>
                                <w:sz w:val="15"/>
                              </w:rPr>
                              <w:t>(OpEx), che riflettono le attività operative verdi delle società partecipate.</w:t>
                            </w:r>
                          </w:p>
                        </w:txbxContent>
                      </wps:txbx>
                      <wps:bodyPr wrap="square" lIns="0" tIns="0" rIns="0" bIns="0" rtlCol="0"/>
                    </wps:wsp>
                  </a:graphicData>
                </a:graphic>
              </wp:anchor>
            </w:drawing>
          </mc:Choice>
          <mc:Fallback>
            <w:pict>
              <v:shape id="Textbox 40" o:spid="_x0000_s1048" type="#_x0000_t202" style="width:100pt;height:172.8pt;margin-top:3.55pt;margin-left:0.72pt;mso-position-horizontal-relative:page;mso-wrap-distance-bottom:0;mso-wrap-distance-left:0;mso-wrap-distance-right:0;mso-wrap-distance-top:0;position:absolute;v-text-anchor:top;z-index:-251599872" fillcolor="#dbd8d6">
                <v:textbox inset="0,0,0,0">
                  <w:txbxContent>
                    <w:p>
                      <w:pPr>
                        <w:spacing w:before="52" w:line="259" w:lineRule="auto"/>
                        <w:ind w:left="38" w:right="133" w:firstLine="0"/>
                        <w:jc w:val="left"/>
                        <w:rPr>
                          <w:sz w:val="16"/>
                        </w:rPr>
                      </w:pPr>
                      <w:r>
                        <w:rPr>
                          <w:spacing w:val="-2"/>
                          <w:w w:val="110"/>
                          <w:sz w:val="15"/>
                        </w:rPr>
                        <w:t>Le attività allineate alla tassonomia sono espresse come quota del:</w:t>
                      </w:r>
                    </w:p>
                    <w:p>
                      <w:pPr>
                        <w:numPr>
                          <w:ilvl w:val="0"/>
                          <w:numId w:val="1"/>
                        </w:numPr>
                        <w:tabs>
                          <w:tab w:val="left" w:pos="128"/>
                        </w:tabs>
                        <w:spacing w:before="0" w:line="259" w:lineRule="auto"/>
                        <w:ind w:left="38" w:right="87" w:firstLine="0"/>
                        <w:jc w:val="left"/>
                        <w:rPr>
                          <w:sz w:val="16"/>
                        </w:rPr>
                      </w:pPr>
                      <w:r>
                        <w:rPr>
                          <w:b/>
                          <w:color w:val="3382A8"/>
                          <w:w w:val="110"/>
                          <w:sz w:val="15"/>
                        </w:rPr>
                        <w:t xml:space="preserve">fatturato, </w:t>
                      </w:r>
                      <w:r>
                        <w:rPr>
                          <w:w w:val="110"/>
                          <w:sz w:val="15"/>
                        </w:rPr>
                        <w:t>che riflette la quota di ricavi derivante dalle attività verdi delle società partecipate</w:t>
                      </w:r>
                    </w:p>
                    <w:p>
                      <w:pPr>
                        <w:numPr>
                          <w:ilvl w:val="0"/>
                          <w:numId w:val="1"/>
                        </w:numPr>
                        <w:tabs>
                          <w:tab w:val="left" w:pos="128"/>
                        </w:tabs>
                        <w:spacing w:before="1" w:line="259" w:lineRule="auto"/>
                        <w:ind w:left="38" w:right="34" w:firstLine="0"/>
                        <w:jc w:val="left"/>
                        <w:rPr>
                          <w:sz w:val="16"/>
                        </w:rPr>
                      </w:pPr>
                      <w:r>
                        <w:rPr>
                          <w:b/>
                          <w:color w:val="3382A8"/>
                          <w:w w:val="110"/>
                          <w:sz w:val="15"/>
                        </w:rPr>
                        <w:t xml:space="preserve">spese in conto capitale </w:t>
                      </w:r>
                      <w:r>
                        <w:rPr>
                          <w:w w:val="110"/>
                          <w:sz w:val="15"/>
                        </w:rPr>
                        <w:t>(CapEx), che indicano gli investimenti «verdi» effettuati dalle società partecipate, ad esempio per la transizione verso un’economia verde.</w:t>
                      </w:r>
                    </w:p>
                    <w:p>
                      <w:pPr>
                        <w:numPr>
                          <w:ilvl w:val="0"/>
                          <w:numId w:val="1"/>
                        </w:numPr>
                        <w:tabs>
                          <w:tab w:val="left" w:pos="128"/>
                        </w:tabs>
                        <w:spacing w:before="0" w:line="256" w:lineRule="auto"/>
                        <w:ind w:left="38" w:right="111" w:firstLine="0"/>
                        <w:jc w:val="left"/>
                        <w:rPr>
                          <w:sz w:val="16"/>
                        </w:rPr>
                      </w:pPr>
                      <w:r>
                        <w:rPr>
                          <w:b/>
                          <w:color w:val="3382A8"/>
                          <w:sz w:val="15"/>
                        </w:rPr>
                        <w:t xml:space="preserve">spese operative </w:t>
                      </w:r>
                      <w:r>
                        <w:rPr>
                          <w:w w:val="110"/>
                          <w:sz w:val="15"/>
                        </w:rPr>
                        <w:t>(OpEx), che riflettono le attività operative verdi delle società partecipate.</w:t>
                      </w:r>
                    </w:p>
                  </w:txbxContent>
                </v:textbox>
                <w10:wrap type="topAndBottom"/>
              </v:shape>
            </w:pict>
          </mc:Fallback>
        </mc:AlternateContent>
      </w:r>
      <w:r>
        <w:rPr>
          <w:sz w:val="4"/>
        </w:rPr>
        <mc:AlternateContent>
          <mc:Choice Requires="wpg">
            <w:drawing>
              <wp:anchor distT="0" distB="0" distL="0" distR="0" simplePos="0" relativeHeight="251718656" behindDoc="1" locked="0" layoutInCell="1" allowOverlap="1">
                <wp:simplePos x="0" y="0"/>
                <wp:positionH relativeFrom="page">
                  <wp:posOffset>1443227</wp:posOffset>
                </wp:positionH>
                <wp:positionV relativeFrom="paragraph">
                  <wp:posOffset>45107</wp:posOffset>
                </wp:positionV>
                <wp:extent cx="5278120" cy="2085339"/>
                <wp:effectExtent l="0" t="0" r="0" b="0"/>
                <wp:wrapTopAndBottom/>
                <wp:docPr id="41" name="Group 41"/>
                <wp:cNvGraphicFramePr/>
                <a:graphic xmlns:a="http://schemas.openxmlformats.org/drawingml/2006/main">
                  <a:graphicData uri="http://schemas.microsoft.com/office/word/2010/wordprocessingGroup">
                    <wpg:wgp xmlns:wpg="http://schemas.microsoft.com/office/word/2010/wordprocessingGroup">
                      <wpg:cNvGrpSpPr/>
                      <wpg:grpSpPr>
                        <a:xfrm>
                          <a:off x="0" y="0"/>
                          <a:ext cx="5278120" cy="2085339"/>
                          <a:chOff x="0" y="0"/>
                          <a:chExt cx="5278120" cy="2085339"/>
                        </a:xfrm>
                      </wpg:grpSpPr>
                      <wps:wsp xmlns:wps="http://schemas.microsoft.com/office/word/2010/wordprocessingShape">
                        <wps:cNvPr id="42" name="Graphic 42"/>
                        <wps:cNvSpPr/>
                        <wps:spPr>
                          <a:xfrm>
                            <a:off x="-12" y="0"/>
                            <a:ext cx="5278120" cy="2085339"/>
                          </a:xfrm>
                          <a:custGeom>
                            <a:avLst/>
                            <a:gdLst/>
                            <a:rect l="l" t="t" r="r" b="b"/>
                            <a:pathLst>
                              <a:path fill="norm" h="2085339" w="5278120" stroke="1">
                                <a:moveTo>
                                  <a:pt x="5277612" y="0"/>
                                </a:moveTo>
                                <a:lnTo>
                                  <a:pt x="0" y="0"/>
                                </a:lnTo>
                                <a:lnTo>
                                  <a:pt x="0" y="2084832"/>
                                </a:lnTo>
                                <a:lnTo>
                                  <a:pt x="2394216" y="2084832"/>
                                </a:lnTo>
                                <a:lnTo>
                                  <a:pt x="2519184" y="2084832"/>
                                </a:lnTo>
                                <a:lnTo>
                                  <a:pt x="5269992" y="2084832"/>
                                </a:lnTo>
                                <a:lnTo>
                                  <a:pt x="5277612" y="2084832"/>
                                </a:lnTo>
                                <a:lnTo>
                                  <a:pt x="5277612" y="0"/>
                                </a:lnTo>
                                <a:close/>
                              </a:path>
                            </a:pathLst>
                          </a:custGeom>
                          <a:solidFill>
                            <a:srgbClr val="1A365D"/>
                          </a:solidFill>
                        </wps:spPr>
                        <wps:bodyPr wrap="square" lIns="0" tIns="0" rIns="0" bIns="0" rtlCol="0">
                          <a:prstTxWarp prst="textNoShape">
                            <a:avLst/>
                          </a:prstTxWarp>
                        </wps:bodyPr>
                      </wps:wsp>
                      <pic:pic xmlns:pic="http://schemas.openxmlformats.org/drawingml/2006/picture">
                        <pic:nvPicPr>
                          <pic:cNvPr id="43" name="Image 43"/>
                          <pic:cNvPicPr/>
                        </pic:nvPicPr>
                        <pic:blipFill>
                          <a:blip xmlns:r="http://schemas.openxmlformats.org/officeDocument/2006/relationships" r:embed="rId18" cstate="print"/>
                          <a:stretch>
                            <a:fillRect/>
                          </a:stretch>
                        </pic:blipFill>
                        <pic:spPr>
                          <a:xfrm>
                            <a:off x="2270760" y="408432"/>
                            <a:ext cx="126491" cy="492251"/>
                          </a:xfrm>
                          <a:prstGeom prst="rect">
                            <a:avLst/>
                          </a:prstGeom>
                        </pic:spPr>
                      </pic:pic>
                      <wps:wsp xmlns:wps="http://schemas.microsoft.com/office/word/2010/wordprocessingShape">
                        <wps:cNvPr id="44" name="Textbox 44"/>
                        <wps:cNvSpPr txBox="1"/>
                        <wps:spPr>
                          <a:xfrm>
                            <a:off x="0" y="0"/>
                            <a:ext cx="5278120" cy="2085339"/>
                          </a:xfrm>
                          <a:prstGeom prst="rect">
                            <a:avLst/>
                          </a:prstGeom>
                        </wps:spPr>
                        <wps:txbx>
                          <w:txbxContent>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10" w:line="240" w:lineRule="auto"/>
                                <w:rPr>
                                  <w:sz w:val="18"/>
                                </w:rPr>
                              </w:pPr>
                            </w:p>
                            <w:p>
                              <w:pPr>
                                <w:spacing w:before="1" w:line="259" w:lineRule="auto"/>
                                <w:ind w:left="69" w:right="140" w:firstLine="0"/>
                                <w:jc w:val="left"/>
                                <w:rPr>
                                  <w:sz w:val="18"/>
                                </w:rPr>
                              </w:pPr>
                              <w:r>
                                <w:rPr>
                                  <w:b/>
                                  <w:color w:val="FFFFFF"/>
                                  <w:w w:val="110"/>
                                  <w:sz w:val="17"/>
                                </w:rPr>
                                <w:t xml:space="preserve">#1 «Allineato alle caratteristiche ambientali e sociali» </w:t>
                              </w:r>
                              <w:r>
                                <w:rPr>
                                  <w:color w:val="FFFFFF"/>
                                  <w:w w:val="110"/>
                                  <w:sz w:val="17"/>
                                </w:rPr>
                                <w:t>include gli investimenti del prodotto finanziario utilizzati per raggiungere le caratteristiche ambientali o sociali promosse dal prodotto finanziario stesso.</w:t>
                              </w:r>
                            </w:p>
                            <w:p>
                              <w:pPr>
                                <w:spacing w:before="15" w:line="240" w:lineRule="auto"/>
                                <w:rPr>
                                  <w:sz w:val="18"/>
                                </w:rPr>
                              </w:pPr>
                            </w:p>
                            <w:p>
                              <w:pPr>
                                <w:spacing w:before="0" w:line="259" w:lineRule="auto"/>
                                <w:ind w:left="69" w:right="140" w:firstLine="0"/>
                                <w:jc w:val="left"/>
                                <w:rPr>
                                  <w:sz w:val="18"/>
                                </w:rPr>
                              </w:pPr>
                              <w:r>
                                <w:rPr>
                                  <w:b/>
                                  <w:color w:val="FFFFFF"/>
                                  <w:w w:val="110"/>
                                  <w:sz w:val="17"/>
                                </w:rPr>
                                <w:t xml:space="preserve">#2 La voce «Altro» </w:t>
                              </w:r>
                              <w:r>
                                <w:rPr>
                                  <w:color w:val="FFFFFF"/>
                                  <w:w w:val="110"/>
                                  <w:sz w:val="17"/>
                                </w:rPr>
                                <w:t>comprende i restanti investimenti del prodotto finanziario che non sono né allineati alle caratteristiche ambientali o sociali, né qualificabili come investimenti sostenibili.</w:t>
                              </w:r>
                            </w:p>
                          </w:txbxContent>
                        </wps:txbx>
                        <wps:bodyPr wrap="square" lIns="0" tIns="0" rIns="0" bIns="0" rtlCol="0"/>
                      </wps:wsp>
                      <wps:wsp xmlns:wps="http://schemas.microsoft.com/office/word/2010/wordprocessingShape">
                        <wps:cNvPr id="45" name="Textbox 45"/>
                        <wps:cNvSpPr txBox="1"/>
                        <wps:spPr>
                          <a:xfrm>
                            <a:off x="2519172" y="647700"/>
                            <a:ext cx="1087120" cy="329565"/>
                          </a:xfrm>
                          <a:prstGeom prst="rect">
                            <a:avLst/>
                          </a:prstGeom>
                          <a:solidFill>
                            <a:srgbClr val="DBD8D6"/>
                          </a:solidFill>
                        </wps:spPr>
                        <wps:txbx>
                          <w:txbxContent>
                            <w:p>
                              <w:pPr>
                                <w:spacing w:before="174"/>
                                <w:ind w:left="549" w:right="0" w:firstLine="0"/>
                                <w:jc w:val="left"/>
                                <w:rPr>
                                  <w:sz w:val="16"/>
                                </w:rPr>
                              </w:pPr>
                              <w:r>
                                <w:rPr>
                                  <w:spacing w:val="-2"/>
                                  <w:w w:val="110"/>
                                  <w:sz w:val="15"/>
                                </w:rPr>
                                <w:t>#2 Altro</w:t>
                              </w:r>
                            </w:p>
                          </w:txbxContent>
                        </wps:txbx>
                        <wps:bodyPr wrap="square" lIns="0" tIns="0" rIns="0" bIns="0" rtlCol="0"/>
                      </wps:wsp>
                      <wps:wsp xmlns:wps="http://schemas.microsoft.com/office/word/2010/wordprocessingShape">
                        <wps:cNvPr id="46" name="Textbox 46"/>
                        <wps:cNvSpPr txBox="1"/>
                        <wps:spPr>
                          <a:xfrm>
                            <a:off x="1170432" y="566928"/>
                            <a:ext cx="1036319" cy="239395"/>
                          </a:xfrm>
                          <a:prstGeom prst="rect">
                            <a:avLst/>
                          </a:prstGeom>
                          <a:solidFill>
                            <a:srgbClr val="FFFFFF"/>
                          </a:solidFill>
                        </wps:spPr>
                        <wps:txbx>
                          <w:txbxContent>
                            <w:p>
                              <w:pPr>
                                <w:spacing w:before="105"/>
                                <w:ind w:left="388" w:right="0" w:firstLine="0"/>
                                <w:jc w:val="left"/>
                                <w:rPr>
                                  <w:sz w:val="16"/>
                                </w:rPr>
                              </w:pPr>
                              <w:r>
                                <w:rPr>
                                  <w:spacing w:val="-2"/>
                                  <w:w w:val="110"/>
                                  <w:sz w:val="15"/>
                                </w:rPr>
                                <w:t>Investimenti</w:t>
                              </w:r>
                            </w:p>
                          </w:txbxContent>
                        </wps:txbx>
                        <wps:bodyPr wrap="square" lIns="0" tIns="0" rIns="0" bIns="0" rtlCol="0"/>
                      </wps:wsp>
                      <wps:wsp xmlns:wps="http://schemas.microsoft.com/office/word/2010/wordprocessingShape">
                        <wps:cNvPr id="47" name="Textbox 47"/>
                        <wps:cNvSpPr txBox="1"/>
                        <wps:spPr>
                          <a:xfrm>
                            <a:off x="2513076" y="231648"/>
                            <a:ext cx="1092835" cy="368935"/>
                          </a:xfrm>
                          <a:prstGeom prst="rect">
                            <a:avLst/>
                          </a:prstGeom>
                          <a:solidFill>
                            <a:srgbClr val="6EC3E8"/>
                          </a:solidFill>
                        </wps:spPr>
                        <wps:txbx>
                          <w:txbxContent>
                            <w:p>
                              <w:pPr>
                                <w:spacing w:before="102" w:line="259" w:lineRule="auto"/>
                                <w:ind w:left="367" w:right="110" w:hanging="238"/>
                                <w:jc w:val="left"/>
                                <w:rPr>
                                  <w:sz w:val="16"/>
                                </w:rPr>
                              </w:pPr>
                              <w:r>
                                <w:rPr>
                                  <w:color w:val="FFFFFF"/>
                                  <w:spacing w:val="-2"/>
                                  <w:w w:val="115"/>
                                  <w:sz w:val="15"/>
                                </w:rPr>
                                <w:t xml:space="preserve">#1 </w:t>
                              </w:r>
                              <w:r>
                                <w:rPr>
                                  <w:color w:val="FFFFFF"/>
                                  <w:spacing w:val="-2"/>
                                  <w:w w:val="115"/>
                                  <w:sz w:val="15"/>
                                </w:rPr>
                                <w:t xml:space="preserve">Allineati </w:t>
                              </w:r>
                              <w:r>
                                <w:rPr>
                                  <w:color w:val="FFFFFF"/>
                                  <w:spacing w:val="-2"/>
                                  <w:w w:val="115"/>
                                  <w:sz w:val="15"/>
                                </w:rPr>
                                <w:t xml:space="preserve">alle </w:t>
                              </w:r>
                              <w:r>
                                <w:rPr>
                                  <w:color w:val="FFFFFF"/>
                                  <w:spacing w:val="-2"/>
                                  <w:w w:val="115"/>
                                  <w:sz w:val="15"/>
                                </w:rPr>
                                <w:t>caratteristiche ambientali e sociali</w:t>
                              </w:r>
                            </w:p>
                          </w:txbxContent>
                        </wps:txbx>
                        <wps:bodyPr wrap="square" lIns="0" tIns="0" rIns="0" bIns="0" rtlCol="0"/>
                      </wps:wsp>
                    </wpg:wgp>
                  </a:graphicData>
                </a:graphic>
              </wp:anchor>
            </w:drawing>
          </mc:Choice>
          <mc:Fallback>
            <w:pict>
              <v:group id="_x0000_s1049" style="width:415.6pt;height:164.2pt;margin-top:3.55pt;margin-left:113.64pt;mso-position-horizontal-relative:page;mso-wrap-distance-left:0;mso-wrap-distance-right:0;position:absolute;z-index:-251596800" coordorigin="2273,71" coordsize="8312,3284">
                <v:shape id="_x0000_s1050" style="width:8312;height:3284;left:2272;position:absolute;top:71" coordorigin="2273,71" coordsize="8312,3284" path="m10584,71l2273,71,2273,3354,6043,3354,6240,3354,10572,3354,10584,3354,10584,71xe" filled="t" fillcolor="#1a365d" stroked="f">
                  <v:fill type="solid"/>
                  <v:path arrowok="t"/>
                </v:shape>
                <v:shape id="_x0000_s1051" type="#_x0000_t75" style="width:200;height:776;left:5848;position:absolute;top:714" stroked="f">
                  <v:imagedata r:id="rId18" o:title=""/>
                </v:shape>
                <v:shape id="_x0000_s1052" type="#_x0000_t202" style="width:8312;height:3284;left:2272;position:absolute;top:71" filled="f" stroked="f">
                  <v:textbox inset="0,0,0,0">
                    <w:txbxContent>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10" w:line="240" w:lineRule="auto"/>
                          <w:rPr>
                            <w:sz w:val="18"/>
                          </w:rPr>
                        </w:pPr>
                      </w:p>
                      <w:p>
                        <w:pPr>
                          <w:spacing w:before="1" w:line="259" w:lineRule="auto"/>
                          <w:ind w:left="69" w:right="140" w:firstLine="0"/>
                          <w:jc w:val="left"/>
                          <w:rPr>
                            <w:sz w:val="18"/>
                          </w:rPr>
                        </w:pPr>
                        <w:r>
                          <w:rPr>
                            <w:b/>
                            <w:color w:val="FFFFFF"/>
                            <w:w w:val="110"/>
                            <w:sz w:val="18"/>
                          </w:rPr>
                          <w:t xml:space="preserve">#1 "Allineati alle caratteristiche ambientali e sociali" </w:t>
                        </w:r>
                        <w:r>
                          <w:rPr>
                            <w:color w:val="FFFFFF"/>
                            <w:w w:val="110"/>
                            <w:sz w:val="18"/>
                          </w:rPr>
                          <w:t>comprende gli investimenti del prodotto finanziario utilizzati per conseguire le caratteristiche ambientali o sociali promosse dal prodotto stesso.</w:t>
                        </w:r>
                      </w:p>
                      <w:p>
                        <w:pPr>
                          <w:spacing w:before="15" w:line="240" w:lineRule="auto"/>
                          <w:rPr>
                            <w:sz w:val="18"/>
                          </w:rPr>
                        </w:pPr>
                      </w:p>
                      <w:p>
                        <w:pPr>
                          <w:spacing w:before="0" w:line="259" w:lineRule="auto"/>
                          <w:ind w:left="69" w:right="140" w:firstLine="0"/>
                          <w:jc w:val="left"/>
                          <w:rPr>
                            <w:sz w:val="18"/>
                          </w:rPr>
                        </w:pPr>
                        <w:r>
                          <w:rPr>
                            <w:b/>
                            <w:color w:val="FFFFFF"/>
                            <w:w w:val="110"/>
                            <w:sz w:val="18"/>
                          </w:rPr>
                          <w:t xml:space="preserve">#2 "Altro" </w:t>
                        </w:r>
                        <w:r>
                          <w:rPr>
                            <w:color w:val="FFFFFF"/>
                            <w:w w:val="110"/>
                            <w:sz w:val="18"/>
                          </w:rPr>
                          <w:t>comprende gli investimenti rimanenti del prodotto finanziario che non sono né allineati alle caratteristiche ambientali o sociali, né qualificati come investimenti sostenibili.</w:t>
                        </w:r>
                      </w:p>
                    </w:txbxContent>
                  </v:textbox>
                </v:shape>
                <v:shape id="_x0000_s1053" type="#_x0000_t202" style="width:1712;height:519;left:6240;position:absolute;top:1091" filled="t" fillcolor="#dbd8d6" stroked="f">
                  <v:fill type="solid"/>
                  <v:textbox inset="0,0,0,0">
                    <w:txbxContent>
                      <w:p>
                        <w:pPr>
                          <w:spacing w:before="174"/>
                          <w:ind w:left="549" w:right="0" w:firstLine="0"/>
                          <w:jc w:val="left"/>
                          <w:rPr>
                            <w:sz w:val="16"/>
                          </w:rPr>
                        </w:pPr>
                        <w:r>
                          <w:rPr>
                            <w:spacing w:val="-2"/>
                            <w:w w:val="110"/>
                            <w:sz w:val="16"/>
                          </w:rPr>
                          <w:t>#2 Altro</w:t>
                        </w:r>
                      </w:p>
                    </w:txbxContent>
                  </v:textbox>
                </v:shape>
                <v:shape id="_x0000_s1054" type="#_x0000_t202" style="width:1632;height:377;left:4116;position:absolute;top:963" filled="t" fillcolor="white" stroked="f">
                  <v:fill type="solid"/>
                  <v:textbox inset="0,0,0,0">
                    <w:txbxContent>
                      <w:p>
                        <w:pPr>
                          <w:spacing w:before="105"/>
                          <w:ind w:left="388" w:right="0" w:firstLine="0"/>
                          <w:jc w:val="left"/>
                          <w:rPr>
                            <w:sz w:val="16"/>
                          </w:rPr>
                        </w:pPr>
                        <w:r>
                          <w:rPr>
                            <w:spacing w:val="-2"/>
                            <w:w w:val="110"/>
                            <w:sz w:val="16"/>
                          </w:rPr>
                          <w:t>Investimenti</w:t>
                        </w:r>
                      </w:p>
                    </w:txbxContent>
                  </v:textbox>
                </v:shape>
                <v:shape id="_x0000_s1055" type="#_x0000_t202" style="width:1721;height:581;left:6230;position:absolute;top:435" filled="t" fillcolor="#6ec3e8" stroked="f">
                  <v:fill type="solid"/>
                  <v:textbox inset="0,0,0,0">
                    <w:txbxContent>
                      <w:p>
                        <w:pPr>
                          <w:spacing w:before="102" w:line="259" w:lineRule="auto"/>
                          <w:ind w:left="367" w:right="110" w:hanging="238"/>
                          <w:jc w:val="left"/>
                          <w:rPr>
                            <w:sz w:val="16"/>
                          </w:rPr>
                        </w:pPr>
                        <w:r>
                          <w:rPr>
                            <w:color w:val="FFFFFF"/>
                            <w:spacing w:val="-2"/>
                            <w:w w:val="115"/>
                            <w:sz w:val="16"/>
                          </w:rPr>
                          <w:t xml:space="preserve">#1 </w:t>
                        </w:r>
                        <w:r>
                          <w:rPr>
                            <w:color w:val="FFFFFF"/>
                            <w:spacing w:val="-2"/>
                            <w:w w:val="115"/>
                            <w:sz w:val="16"/>
                          </w:rPr>
                          <w:t xml:space="preserve">Allineati </w:t>
                        </w:r>
                        <w:r>
                          <w:rPr>
                            <w:color w:val="FFFFFF"/>
                            <w:spacing w:val="-2"/>
                            <w:w w:val="115"/>
                            <w:sz w:val="16"/>
                          </w:rPr>
                          <w:t xml:space="preserve">alle </w:t>
                        </w:r>
                        <w:r>
                          <w:rPr>
                            <w:color w:val="FFFFFF"/>
                            <w:spacing w:val="-2"/>
                            <w:w w:val="115"/>
                            <w:sz w:val="16"/>
                          </w:rPr>
                          <w:t>caratteristiche ambientali e sociali</w:t>
                        </w:r>
                      </w:p>
                    </w:txbxContent>
                  </v:textbox>
                </v:shape>
                <w10:wrap type="topAndBottom"/>
              </v:group>
            </w:pict>
          </mc:Fallback>
        </mc:AlternateContent>
      </w:r>
    </w:p>
    <w:p>
      <w:pPr>
        <w:pStyle w:val="BodyText"/>
        <w:spacing w:after="0"/>
        <w:rPr>
          <w:sz w:val="4"/>
        </w:rPr>
        <w:sectPr>
          <w:pgSz w:w="11910" w:h="16840"/>
          <w:pgMar w:top="900" w:right="708" w:bottom="1080" w:left="0" w:header="10" w:footer="804"/>
          <w:cols w:space="708"/>
        </w:sectPr>
      </w:pPr>
    </w:p>
    <w:p>
      <w:pPr>
        <w:pStyle w:val="BodyText"/>
        <w:spacing w:before="57"/>
        <w:rPr>
          <w:sz w:val="20"/>
        </w:rPr>
      </w:pPr>
    </w:p>
    <w:p>
      <w:pPr>
        <w:pStyle w:val="BodyText"/>
        <w:spacing w:after="0"/>
        <w:rPr>
          <w:sz w:val="20"/>
        </w:rPr>
        <w:sectPr>
          <w:pgSz w:w="11910" w:h="16840"/>
          <w:pgMar w:top="900" w:right="708" w:bottom="1080" w:left="0" w:header="10" w:footer="804"/>
          <w:cols w:space="708"/>
        </w:sectPr>
      </w:pPr>
    </w:p>
    <w:p>
      <w:pPr>
        <w:spacing w:before="103" w:line="256" w:lineRule="auto"/>
        <w:ind w:left="52" w:right="0" w:firstLine="0"/>
        <w:jc w:val="left"/>
        <w:rPr>
          <w:b/>
          <w:sz w:val="16"/>
        </w:rPr>
      </w:pPr>
      <w:r>
        <w:rPr>
          <w:b/>
          <w:sz w:val="16"/>
        </w:rPr>
        <mc:AlternateContent>
          <mc:Choice Requires="wps">
            <w:drawing>
              <wp:anchor distT="0" distB="0" distL="0" distR="0" simplePos="0" relativeHeight="251707392" behindDoc="1" locked="0" layoutInCell="1" allowOverlap="1">
                <wp:simplePos x="0" y="0"/>
                <wp:positionH relativeFrom="page">
                  <wp:posOffset>9144</wp:posOffset>
                </wp:positionH>
                <wp:positionV relativeFrom="paragraph">
                  <wp:posOffset>-170040</wp:posOffset>
                </wp:positionV>
                <wp:extent cx="1270000" cy="3823970"/>
                <wp:effectExtent l="0" t="0" r="0" b="0"/>
                <wp:wrapNone/>
                <wp:docPr id="48" name="Graphic 48"/>
                <wp:cNvGraphicFramePr/>
                <a:graphic xmlns:a="http://schemas.openxmlformats.org/drawingml/2006/main">
                  <a:graphicData uri="http://schemas.microsoft.com/office/word/2010/wordprocessingShape">
                    <wps:wsp xmlns:wps="http://schemas.microsoft.com/office/word/2010/wordprocessingShape">
                      <wps:cNvSpPr/>
                      <wps:spPr>
                        <a:xfrm>
                          <a:off x="0" y="0"/>
                          <a:ext cx="1270000" cy="3823970"/>
                        </a:xfrm>
                        <a:custGeom>
                          <a:avLst/>
                          <a:gdLst/>
                          <a:rect l="l" t="t" r="r" b="b"/>
                          <a:pathLst>
                            <a:path fill="norm" h="3823970" w="1270000" stroke="1">
                              <a:moveTo>
                                <a:pt x="1269491" y="3823716"/>
                              </a:moveTo>
                              <a:lnTo>
                                <a:pt x="0" y="3823716"/>
                              </a:lnTo>
                              <a:lnTo>
                                <a:pt x="0" y="0"/>
                              </a:lnTo>
                              <a:lnTo>
                                <a:pt x="1269491" y="0"/>
                              </a:lnTo>
                              <a:lnTo>
                                <a:pt x="1269491" y="3823716"/>
                              </a:lnTo>
                              <a:close/>
                            </a:path>
                          </a:pathLst>
                        </a:custGeom>
                        <a:solidFill>
                          <a:srgbClr val="DBD8D6"/>
                        </a:solidFill>
                      </wps:spPr>
                      <wps:bodyPr wrap="square" lIns="0" tIns="0" rIns="0" bIns="0" rtlCol="0">
                        <a:prstTxWarp prst="textNoShape">
                          <a:avLst/>
                        </a:prstTxWarp>
                      </wps:bodyPr>
                    </wps:wsp>
                  </a:graphicData>
                </a:graphic>
              </wp:anchor>
            </w:drawing>
          </mc:Choice>
          <mc:Fallback>
            <w:pict>
              <v:rect id="_x0000_s1056" style="width:99.96pt;height:301.08pt;margin-top:-13.39pt;margin-left:0.72pt;mso-position-horizontal-relative:page;position:absolute;z-index:-251608064" filled="t" fillcolor="#dbd8d6" stroked="f">
                <v:fill type="solid"/>
              </v:rect>
            </w:pict>
          </mc:Fallback>
        </mc:AlternateContent>
      </w:r>
      <w:r>
        <w:rPr>
          <w:w w:val="110"/>
          <w:sz w:val="15"/>
        </w:rPr>
        <w:t xml:space="preserve">Per conformarsi alla tassonomia dell’UE, i criteri relativi </w:t>
      </w:r>
      <w:r>
        <w:rPr>
          <w:b/>
          <w:color w:val="3382A8"/>
          <w:w w:val="110"/>
          <w:sz w:val="15"/>
        </w:rPr>
        <w:t>al gas fossile</w:t>
      </w:r>
    </w:p>
    <w:p>
      <w:pPr>
        <w:spacing w:before="0" w:line="256" w:lineRule="auto"/>
        <w:ind w:left="52" w:right="425" w:firstLine="0"/>
        <w:jc w:val="left"/>
        <w:rPr>
          <w:sz w:val="16"/>
        </w:rPr>
      </w:pPr>
      <w:r>
        <w:rPr>
          <w:w w:val="110"/>
          <w:sz w:val="15"/>
        </w:rPr>
        <w:t>prevedono limitazioni alle emissioni</w:t>
      </w:r>
    </w:p>
    <w:p>
      <w:pPr>
        <w:spacing w:before="0"/>
        <w:ind w:left="52" w:right="0" w:firstLine="0"/>
        <w:jc w:val="left"/>
        <w:rPr>
          <w:sz w:val="16"/>
        </w:rPr>
      </w:pPr>
      <w:r>
        <w:rPr>
          <w:w w:val="110"/>
          <w:sz w:val="15"/>
        </w:rPr>
        <w:t>e il passaggio a</w:t>
      </w:r>
    </w:p>
    <w:p>
      <w:pPr>
        <w:spacing w:before="15" w:line="259" w:lineRule="auto"/>
        <w:ind w:left="52" w:right="85" w:firstLine="0"/>
        <w:jc w:val="left"/>
        <w:rPr>
          <w:sz w:val="16"/>
        </w:rPr>
      </w:pPr>
      <w:r>
        <w:rPr>
          <w:w w:val="110"/>
          <w:sz w:val="15"/>
        </w:rPr>
        <w:t>energia interamente rinnovabile o a combustibili a basse emissioni di carbonio entro la fine del 2035. Per l’</w:t>
      </w:r>
    </w:p>
    <w:p>
      <w:pPr>
        <w:spacing w:before="2" w:line="259" w:lineRule="auto"/>
        <w:ind w:left="52" w:right="0" w:firstLine="0"/>
        <w:jc w:val="left"/>
        <w:rPr>
          <w:sz w:val="16"/>
        </w:rPr>
      </w:pPr>
      <w:r>
        <w:rPr>
          <w:b/>
          <w:color w:val="3382A8"/>
          <w:w w:val="110"/>
          <w:sz w:val="15"/>
        </w:rPr>
        <w:t>energia nucleare</w:t>
      </w:r>
      <w:r>
        <w:rPr>
          <w:w w:val="110"/>
          <w:sz w:val="15"/>
        </w:rPr>
        <w:t>, i criteri comprendono norme complete in materia di sicurezza e gestione delle scorie</w:t>
      </w:r>
    </w:p>
    <w:p>
      <w:pPr>
        <w:spacing w:before="7"/>
        <w:ind w:left="52" w:right="0" w:firstLine="0"/>
        <w:jc w:val="left"/>
        <w:rPr>
          <w:sz w:val="16"/>
        </w:rPr>
      </w:pPr>
      <w:r>
        <w:rPr>
          <w:spacing w:val="-2"/>
          <w:w w:val="110"/>
          <w:sz w:val="15"/>
        </w:rPr>
        <w:t>.</w:t>
      </w:r>
    </w:p>
    <w:p>
      <w:pPr>
        <w:pStyle w:val="BodyText"/>
        <w:spacing w:before="23"/>
        <w:rPr>
          <w:sz w:val="16"/>
        </w:rPr>
      </w:pPr>
    </w:p>
    <w:p>
      <w:pPr>
        <w:spacing w:before="0" w:line="256" w:lineRule="auto"/>
        <w:ind w:left="52" w:right="10" w:firstLine="0"/>
        <w:jc w:val="left"/>
        <w:rPr>
          <w:sz w:val="16"/>
        </w:rPr>
      </w:pPr>
      <w:r>
        <w:rPr>
          <w:b/>
          <w:color w:val="3382A8"/>
          <w:w w:val="110"/>
          <w:sz w:val="15"/>
        </w:rPr>
        <w:t xml:space="preserve">Le attività abilitanti </w:t>
      </w:r>
      <w:r>
        <w:rPr>
          <w:w w:val="110"/>
          <w:sz w:val="15"/>
        </w:rPr>
        <w:t>consentono direttamente ad altre attività di fornire un contributo sostanziale al raggiungimento di un obiettivo ambientale.</w:t>
      </w:r>
    </w:p>
    <w:p>
      <w:pPr>
        <w:pStyle w:val="BodyText"/>
        <w:spacing w:before="17"/>
        <w:rPr>
          <w:sz w:val="16"/>
        </w:rPr>
      </w:pPr>
    </w:p>
    <w:p>
      <w:pPr>
        <w:spacing w:before="0" w:line="259" w:lineRule="auto"/>
        <w:ind w:left="52" w:right="0" w:firstLine="0"/>
        <w:jc w:val="left"/>
        <w:rPr>
          <w:sz w:val="16"/>
        </w:rPr>
      </w:pPr>
      <w:r>
        <w:rPr>
          <w:b/>
          <w:color w:val="3382A8"/>
          <w:sz w:val="15"/>
        </w:rPr>
        <w:t xml:space="preserve">Le attività di transizione sono </w:t>
      </w:r>
      <w:r>
        <w:rPr>
          <w:w w:val="110"/>
          <w:sz w:val="15"/>
        </w:rPr>
        <w:t>quelle per le quali non sono ancora disponibili alternative a basse emissioni di carbonio e che, tra l’altro, presentano livelli di emissioni di gas serra corrispondenti alle migliori prestazioni.</w:t>
      </w:r>
    </w:p>
    <w:p>
      <w:pPr>
        <w:pStyle w:val="Heading3"/>
        <w:spacing w:before="97" w:line="249" w:lineRule="auto"/>
        <w:ind w:left="81" w:right="242"/>
      </w:pPr>
      <w:r>
        <w:rPr>
          <w:b w:val="0"/>
          <w:i w:val="0"/>
          <w:sz w:val="18"/>
        </w:rPr>
        <w:br w:type="column"/>
      </w:r>
      <w:r>
        <w:rPr>
          <w:color w:val="1A365D"/>
          <w:w w:val="110"/>
          <w:sz w:val="18"/>
        </w:rPr>
        <w:t>In che modo l’uso di derivati consente di raggiungere le caratteristiche ambientali o sociali promosse dal prodotto finanziario?</w:t>
      </w:r>
    </w:p>
    <w:p>
      <w:pPr>
        <w:pStyle w:val="BodyText"/>
        <w:spacing w:before="88" w:line="259" w:lineRule="auto"/>
        <w:ind w:left="81" w:right="242"/>
      </w:pPr>
      <w:r>
        <w:drawing>
          <wp:anchor distT="0" distB="0" distL="0" distR="0" simplePos="0" relativeHeight="251709440" behindDoc="1" locked="0" layoutInCell="1" allowOverlap="1">
            <wp:simplePos x="0" y="0"/>
            <wp:positionH relativeFrom="page">
              <wp:posOffset>1482851</wp:posOffset>
            </wp:positionH>
            <wp:positionV relativeFrom="paragraph">
              <wp:posOffset>232702</wp:posOffset>
            </wp:positionV>
            <wp:extent cx="379476" cy="382523"/>
            <wp:effectExtent l="0" t="0" r="0" b="0"/>
            <wp:wrapNone/>
            <wp:docPr id="49" name="Image 49"/>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xmlns:r="http://schemas.openxmlformats.org/officeDocument/2006/relationships" r:embed="rId19" cstate="print"/>
                    <a:stretch>
                      <a:fillRect/>
                    </a:stretch>
                  </pic:blipFill>
                  <pic:spPr>
                    <a:xfrm>
                      <a:off x="0" y="0"/>
                      <a:ext cx="379476" cy="382523"/>
                    </a:xfrm>
                    <a:prstGeom prst="rect">
                      <a:avLst/>
                    </a:prstGeom>
                  </pic:spPr>
                </pic:pic>
              </a:graphicData>
            </a:graphic>
          </wp:anchor>
        </w:drawing>
      </w:r>
      <w:r>
        <w:rPr>
          <w:spacing w:val="-2"/>
          <w:w w:val="115"/>
          <w:sz w:val="17"/>
        </w:rPr>
        <w:t xml:space="preserve">Non </w:t>
      </w:r>
      <w:r>
        <w:rPr>
          <w:spacing w:val="-2"/>
          <w:w w:val="115"/>
          <w:sz w:val="17"/>
        </w:rPr>
        <w:t xml:space="preserve">applicabile. </w:t>
      </w:r>
      <w:r>
        <w:rPr>
          <w:spacing w:val="-2"/>
          <w:w w:val="115"/>
          <w:sz w:val="17"/>
        </w:rPr>
        <w:t xml:space="preserve">Il </w:t>
      </w:r>
      <w:r>
        <w:rPr>
          <w:spacing w:val="-2"/>
          <w:w w:val="115"/>
          <w:sz w:val="17"/>
        </w:rPr>
        <w:t xml:space="preserve">Fondo </w:t>
      </w:r>
      <w:r>
        <w:rPr>
          <w:spacing w:val="-2"/>
          <w:w w:val="115"/>
          <w:sz w:val="17"/>
        </w:rPr>
        <w:t xml:space="preserve">non </w:t>
      </w:r>
      <w:r>
        <w:rPr>
          <w:spacing w:val="-2"/>
          <w:w w:val="115"/>
          <w:sz w:val="17"/>
        </w:rPr>
        <w:t xml:space="preserve">ricorre </w:t>
      </w:r>
      <w:r>
        <w:rPr>
          <w:spacing w:val="-2"/>
          <w:w w:val="115"/>
          <w:sz w:val="17"/>
        </w:rPr>
        <w:t xml:space="preserve">a </w:t>
      </w:r>
      <w:r>
        <w:rPr>
          <w:spacing w:val="-2"/>
          <w:w w:val="115"/>
          <w:sz w:val="17"/>
        </w:rPr>
        <w:t xml:space="preserve">strumenti derivati </w:t>
      </w:r>
      <w:r>
        <w:rPr>
          <w:spacing w:val="-2"/>
          <w:w w:val="115"/>
          <w:sz w:val="17"/>
        </w:rPr>
        <w:t xml:space="preserve">al </w:t>
      </w:r>
      <w:r>
        <w:rPr>
          <w:spacing w:val="-2"/>
          <w:w w:val="115"/>
          <w:sz w:val="17"/>
        </w:rPr>
        <w:t xml:space="preserve">fine </w:t>
      </w:r>
      <w:r>
        <w:rPr>
          <w:spacing w:val="-2"/>
          <w:w w:val="115"/>
          <w:sz w:val="17"/>
        </w:rPr>
        <w:t xml:space="preserve">di </w:t>
      </w:r>
      <w:r>
        <w:rPr>
          <w:spacing w:val="-2"/>
          <w:w w:val="115"/>
          <w:sz w:val="17"/>
        </w:rPr>
        <w:t xml:space="preserve">conseguire </w:t>
      </w:r>
      <w:r>
        <w:rPr>
          <w:spacing w:val="-2"/>
          <w:w w:val="115"/>
          <w:sz w:val="17"/>
        </w:rPr>
        <w:t xml:space="preserve">le </w:t>
      </w:r>
      <w:r>
        <w:rPr>
          <w:w w:val="115"/>
          <w:sz w:val="17"/>
        </w:rPr>
        <w:t xml:space="preserve">caratteristiche </w:t>
      </w:r>
      <w:r>
        <w:rPr>
          <w:spacing w:val="-2"/>
          <w:w w:val="115"/>
          <w:sz w:val="17"/>
        </w:rPr>
        <w:t xml:space="preserve">ambientali </w:t>
      </w:r>
      <w:r>
        <w:rPr>
          <w:w w:val="115"/>
          <w:sz w:val="17"/>
        </w:rPr>
        <w:t xml:space="preserve">e/o sociali </w:t>
      </w:r>
      <w:r>
        <w:rPr>
          <w:w w:val="115"/>
          <w:sz w:val="17"/>
        </w:rPr>
        <w:t xml:space="preserve">da </w:t>
      </w:r>
      <w:r>
        <w:rPr>
          <w:w w:val="115"/>
          <w:sz w:val="17"/>
        </w:rPr>
        <w:t xml:space="preserve">esso </w:t>
      </w:r>
      <w:r>
        <w:rPr>
          <w:w w:val="115"/>
          <w:sz w:val="17"/>
        </w:rPr>
        <w:t>promosse</w:t>
      </w:r>
      <w:r>
        <w:rPr>
          <w:w w:val="115"/>
          <w:sz w:val="17"/>
        </w:rPr>
        <w:t>.</w:t>
      </w:r>
    </w:p>
    <w:p>
      <w:pPr>
        <w:pStyle w:val="Heading3"/>
        <w:spacing w:before="192" w:line="249" w:lineRule="auto"/>
        <w:ind w:left="791" w:right="242"/>
      </w:pPr>
      <w:r>
        <w:rPr>
          <w:color w:val="1A365D"/>
          <w:w w:val="110"/>
          <w:sz w:val="18"/>
        </w:rPr>
        <w:t>In che misura minima gli investimenti sostenibili con un obiettivo ambientale sono allineati alla tassonomia dell’UE?</w:t>
      </w:r>
    </w:p>
    <w:p>
      <w:pPr>
        <w:pStyle w:val="BodyText"/>
        <w:spacing w:before="205" w:line="259" w:lineRule="auto"/>
        <w:ind w:left="791" w:right="34"/>
      </w:pPr>
      <w:r>
        <w:rPr>
          <w:w w:val="110"/>
          <w:sz w:val="17"/>
        </w:rPr>
        <w:t>Il Fondo non si impegna attualmente a investire in alcun investimento sostenibile ai sensi dello SFDR; di conseguenza, la quota minima di investimenti allineati alla tassonomia dell’UE è pari allo 0%.</w:t>
      </w:r>
    </w:p>
    <w:p>
      <w:pPr>
        <w:spacing w:before="132" w:line="249" w:lineRule="auto"/>
        <w:ind w:left="748" w:right="34" w:firstLine="0"/>
        <w:jc w:val="left"/>
        <w:rPr>
          <w:b/>
          <w:i/>
          <w:sz w:val="20"/>
        </w:rPr>
      </w:pPr>
      <w:r>
        <w:rPr>
          <w:b/>
          <w:i/>
          <w:color w:val="1A365D"/>
          <w:w w:val="110"/>
          <w:sz w:val="18"/>
        </w:rPr>
        <w:t>Il prodotto finanziario investe in attività legate al gas fossile e/o all’energia nucleare conformi alla Tassonomia dell’UE¹?</w:t>
      </w:r>
    </w:p>
    <w:p>
      <w:pPr>
        <w:spacing w:before="178"/>
        <w:ind w:left="758" w:right="0" w:firstLine="0"/>
        <w:jc w:val="left"/>
        <w:rPr>
          <w:sz w:val="18"/>
        </w:rPr>
      </w:pPr>
      <w:r>
        <w:drawing>
          <wp:inline distT="0" distB="0" distL="0" distR="0">
            <wp:extent cx="80772" cy="82296"/>
            <wp:effectExtent l="0" t="0" r="0" b="0"/>
            <wp:docPr id="50" name="Image 50"/>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xmlns:r="http://schemas.openxmlformats.org/officeDocument/2006/relationships" r:embed="rId12" cstate="print"/>
                    <a:stretch>
                      <a:fillRect/>
                    </a:stretch>
                  </pic:blipFill>
                  <pic:spPr>
                    <a:xfrm>
                      <a:off x="0" y="0"/>
                      <a:ext cx="80772" cy="82296"/>
                    </a:xfrm>
                    <a:prstGeom prst="rect">
                      <a:avLst/>
                    </a:prstGeom>
                  </pic:spPr>
                </pic:pic>
              </a:graphicData>
            </a:graphic>
          </wp:inline>
        </w:drawing>
      </w:r>
      <w:r>
        <w:rPr>
          <w:sz w:val="17"/>
        </w:rPr>
        <w:t xml:space="preserve"> Sì</w:t>
      </w:r>
    </w:p>
    <w:p>
      <w:pPr>
        <w:pStyle w:val="BodyText"/>
        <w:tabs>
          <w:tab w:val="left" w:pos="3899"/>
        </w:tabs>
        <w:spacing w:before="115"/>
        <w:ind w:left="2056"/>
      </w:pPr>
      <w:r>
        <w:drawing>
          <wp:inline distT="0" distB="0" distL="0" distR="0">
            <wp:extent cx="80772" cy="82296"/>
            <wp:effectExtent l="0" t="0" r="0" b="0"/>
            <wp:docPr id="51" name="Image 51"/>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xmlns:r="http://schemas.openxmlformats.org/officeDocument/2006/relationships" r:embed="rId12" cstate="print"/>
                    <a:stretch>
                      <a:fillRect/>
                    </a:stretch>
                  </pic:blipFill>
                  <pic:spPr>
                    <a:xfrm>
                      <a:off x="0" y="0"/>
                      <a:ext cx="80772" cy="82296"/>
                    </a:xfrm>
                    <a:prstGeom prst="rect">
                      <a:avLst/>
                    </a:prstGeom>
                  </pic:spPr>
                </pic:pic>
              </a:graphicData>
            </a:graphic>
          </wp:inline>
        </w:drawing>
      </w:r>
      <w:r>
        <w:rPr>
          <w:sz w:val="18"/>
        </w:rPr>
        <w:t xml:space="preserve">  </w:t>
      </w:r>
      <w:r>
        <w:rPr>
          <w:w w:val="105"/>
          <w:sz w:val="17"/>
        </w:rPr>
        <w:t>Nel gas fossile</w:t>
      </w:r>
      <w:r>
        <w:rPr>
          <w:sz w:val="17"/>
        </w:rPr>
        <w:tab/>
      </w:r>
      <w:r>
        <w:drawing>
          <wp:inline distT="0" distB="0" distL="0" distR="0">
            <wp:extent cx="82296" cy="82296"/>
            <wp:effectExtent l="0" t="0" r="0" b="0"/>
            <wp:docPr id="52" name="Image 52"/>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xmlns:r="http://schemas.openxmlformats.org/officeDocument/2006/relationships" r:embed="rId20" cstate="print"/>
                    <a:stretch>
                      <a:fillRect/>
                    </a:stretch>
                  </pic:blipFill>
                  <pic:spPr>
                    <a:xfrm>
                      <a:off x="0" y="0"/>
                      <a:ext cx="82296" cy="82296"/>
                    </a:xfrm>
                    <a:prstGeom prst="rect">
                      <a:avLst/>
                    </a:prstGeom>
                  </pic:spPr>
                </pic:pic>
              </a:graphicData>
            </a:graphic>
          </wp:inline>
        </w:drawing>
      </w:r>
      <w:r>
        <w:rPr>
          <w:w w:val="110"/>
          <w:sz w:val="17"/>
        </w:rPr>
        <w:t xml:space="preserve">  Nell’energia nucleare</w:t>
      </w:r>
    </w:p>
    <w:p>
      <w:pPr>
        <w:spacing w:before="114"/>
        <w:ind w:left="760" w:right="0" w:firstLine="0"/>
        <w:jc w:val="left"/>
        <w:rPr>
          <w:sz w:val="18"/>
        </w:rPr>
      </w:pPr>
      <w:r>
        <w:drawing>
          <wp:inline distT="0" distB="0" distL="0" distR="0">
            <wp:extent cx="82296" cy="82296"/>
            <wp:effectExtent l="0" t="0" r="0" b="0"/>
            <wp:docPr id="53" name="Image 53"/>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xmlns:r="http://schemas.openxmlformats.org/officeDocument/2006/relationships" r:embed="rId11" cstate="print"/>
                    <a:stretch>
                      <a:fillRect/>
                    </a:stretch>
                  </pic:blipFill>
                  <pic:spPr>
                    <a:xfrm>
                      <a:off x="0" y="0"/>
                      <a:ext cx="82296" cy="82296"/>
                    </a:xfrm>
                    <a:prstGeom prst="rect">
                      <a:avLst/>
                    </a:prstGeom>
                  </pic:spPr>
                </pic:pic>
              </a:graphicData>
            </a:graphic>
          </wp:inline>
        </w:drawing>
      </w:r>
      <w:r>
        <w:rPr>
          <w:w w:val="110"/>
          <w:sz w:val="17"/>
        </w:rPr>
        <w:t xml:space="preserve"> No</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73"/>
        <w:rPr>
          <w:sz w:val="20"/>
        </w:rPr>
      </w:pPr>
    </w:p>
    <w:tbl>
      <w:tblPr>
        <w:tblStyle w:val="TableNormal"/>
        <w:tblW w:w="0" w:type="auto"/>
        <w:jc w:val="left"/>
        <w:tblInd w:w="653" w:type="dxa"/>
        <w:tblBorders>
          <w:top w:val="single" w:sz="36" w:space="0" w:color="1A365D"/>
          <w:left w:val="single" w:sz="36" w:space="0" w:color="1A365D"/>
          <w:bottom w:val="single" w:sz="36" w:space="0" w:color="1A365D"/>
          <w:right w:val="single" w:sz="36" w:space="0" w:color="1A365D"/>
          <w:insideH w:val="single" w:sz="36" w:space="0" w:color="1A365D"/>
          <w:insideV w:val="single" w:sz="36" w:space="0" w:color="1A365D"/>
        </w:tblBorders>
        <w:tblLayout w:type="fixed"/>
        <w:tblCellMar>
          <w:top w:w="0" w:type="dxa"/>
          <w:left w:w="0" w:type="dxa"/>
          <w:bottom w:w="0" w:type="dxa"/>
          <w:right w:w="0" w:type="dxa"/>
        </w:tblCellMar>
        <w:tblLook w:val="01E0"/>
      </w:tblPr>
      <w:tblGrid>
        <w:gridCol w:w="3991"/>
        <w:gridCol w:w="4003"/>
      </w:tblGrid>
      <w:tr>
        <w:tblPrEx>
          <w:tblW w:w="0" w:type="auto"/>
          <w:tblInd w:w="653" w:type="dxa"/>
          <w:tblLayout w:type="fixed"/>
          <w:tblLook w:val="01E0"/>
        </w:tblPrEx>
        <w:trPr>
          <w:trHeight w:val="1406"/>
        </w:trPr>
        <w:tc>
          <w:tcPr>
            <w:tcW w:w="7994" w:type="dxa"/>
            <w:gridSpan w:val="2"/>
            <w:tcBorders>
              <w:top w:val="nil"/>
              <w:left w:val="nil"/>
              <w:right w:val="nil"/>
            </w:tcBorders>
            <w:shd w:val="clear" w:color="auto" w:fill="1A365D"/>
          </w:tcPr>
          <w:p>
            <w:pPr>
              <w:pStyle w:val="TableParagraph"/>
              <w:spacing w:before="45" w:line="259" w:lineRule="auto"/>
              <w:ind w:left="134" w:right="21"/>
              <w:rPr>
                <w:sz w:val="18"/>
              </w:rPr>
            </w:pPr>
            <w:r>
              <w:rPr>
                <w:color w:val="FFFFFF"/>
                <w:w w:val="110"/>
                <w:sz w:val="17"/>
              </w:rPr>
              <w:t>I due grafici riportati di seguito mostrano in blu scuro la percentuale minima di investimenti conformi alla Tassonomia dell’UE. Poiché non esiste una metodologia adeguata per determinare la conformità alla Tassonomia dei titoli di Stato*, il primo grafico mostra la conformità alla Tassonomia in relazione a tutti gli investimenti del prodotto finanziario, compresi i titoli di Stato, mentre il secondo grafico mostra la conformità alla Tassonomia solo in relazione agli investimenti del prodotto finanziario diversi dai titoli di Stato.</w:t>
            </w:r>
          </w:p>
        </w:tc>
      </w:tr>
      <w:tr>
        <w:tblPrEx>
          <w:tblW w:w="0" w:type="auto"/>
          <w:tblInd w:w="653" w:type="dxa"/>
          <w:tblLayout w:type="fixed"/>
          <w:tblLook w:val="01E0"/>
        </w:tblPrEx>
        <w:trPr>
          <w:trHeight w:val="2586"/>
        </w:trPr>
        <w:tc>
          <w:tcPr>
            <w:tcW w:w="3991" w:type="dxa"/>
            <w:tcBorders>
              <w:right w:val="thickThinMediumGap" w:sz="9" w:space="0" w:color="1A365D"/>
            </w:tcBorders>
          </w:tcPr>
          <w:p>
            <w:pPr>
              <w:pStyle w:val="TableParagraph"/>
              <w:ind w:left="48" w:right="-72"/>
              <w:rPr>
                <w:sz w:val="20"/>
              </w:rPr>
            </w:pPr>
            <w:r>
              <w:rPr>
                <w:sz w:val="20"/>
              </w:rPr>
              <w:drawing>
                <wp:inline distT="0" distB="0" distL="0" distR="0">
                  <wp:extent cx="2463053" cy="1633727"/>
                  <wp:effectExtent l="0" t="0" r="0" b="0"/>
                  <wp:docPr id="54" name="Image 54"/>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xmlns:r="http://schemas.openxmlformats.org/officeDocument/2006/relationships" r:embed="rId21" cstate="print"/>
                          <a:stretch>
                            <a:fillRect/>
                          </a:stretch>
                        </pic:blipFill>
                        <pic:spPr>
                          <a:xfrm>
                            <a:off x="0" y="0"/>
                            <a:ext cx="2463053" cy="1633727"/>
                          </a:xfrm>
                          <a:prstGeom prst="rect">
                            <a:avLst/>
                          </a:prstGeom>
                        </pic:spPr>
                      </pic:pic>
                    </a:graphicData>
                  </a:graphic>
                </wp:inline>
              </w:drawing>
            </w:r>
          </w:p>
        </w:tc>
        <w:tc>
          <w:tcPr>
            <w:tcW w:w="4003" w:type="dxa"/>
            <w:tcBorders>
              <w:left w:val="thinThickMediumGap" w:sz="9" w:space="0" w:color="1A365D"/>
            </w:tcBorders>
          </w:tcPr>
          <w:p>
            <w:pPr>
              <w:pStyle w:val="TableParagraph"/>
              <w:ind w:left="58" w:right="-58"/>
              <w:rPr>
                <w:sz w:val="20"/>
              </w:rPr>
            </w:pPr>
            <w:r>
              <w:rPr>
                <w:sz w:val="20"/>
              </w:rPr>
              <w:drawing>
                <wp:inline distT="0" distB="0" distL="0" distR="0">
                  <wp:extent cx="2458452" cy="1633727"/>
                  <wp:effectExtent l="0" t="0" r="0" b="0"/>
                  <wp:docPr id="55" name="Image 55"/>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xmlns:r="http://schemas.openxmlformats.org/officeDocument/2006/relationships" r:embed="rId22" cstate="print"/>
                          <a:stretch>
                            <a:fillRect/>
                          </a:stretch>
                        </pic:blipFill>
                        <pic:spPr>
                          <a:xfrm>
                            <a:off x="0" y="0"/>
                            <a:ext cx="2458452" cy="1633727"/>
                          </a:xfrm>
                          <a:prstGeom prst="rect">
                            <a:avLst/>
                          </a:prstGeom>
                        </pic:spPr>
                      </pic:pic>
                    </a:graphicData>
                  </a:graphic>
                </wp:inline>
              </w:drawing>
            </w:r>
          </w:p>
        </w:tc>
      </w:tr>
      <w:tr>
        <w:tblPrEx>
          <w:tblW w:w="0" w:type="auto"/>
          <w:tblInd w:w="653" w:type="dxa"/>
          <w:tblLayout w:type="fixed"/>
          <w:tblLook w:val="01E0"/>
        </w:tblPrEx>
        <w:trPr>
          <w:trHeight w:val="377"/>
        </w:trPr>
        <w:tc>
          <w:tcPr>
            <w:tcW w:w="7994" w:type="dxa"/>
            <w:gridSpan w:val="2"/>
            <w:tcBorders>
              <w:left w:val="nil"/>
              <w:bottom w:val="nil"/>
              <w:right w:val="nil"/>
            </w:tcBorders>
            <w:shd w:val="clear" w:color="auto" w:fill="1A365D"/>
          </w:tcPr>
          <w:p>
            <w:pPr>
              <w:pStyle w:val="TableParagraph"/>
              <w:spacing w:before="75"/>
              <w:ind w:left="134"/>
              <w:rPr>
                <w:sz w:val="18"/>
              </w:rPr>
            </w:pPr>
            <w:r>
              <w:rPr>
                <w:color w:val="FFFFFF"/>
                <w:w w:val="105"/>
                <w:sz w:val="17"/>
              </w:rPr>
              <w:t>* Ai fini di questi grafici, per «titoli di Stato» si intendono tutte le esposizioni sovrane.</w:t>
            </w:r>
          </w:p>
        </w:tc>
      </w:tr>
    </w:tbl>
    <w:p>
      <w:pPr>
        <w:pStyle w:val="BodyText"/>
      </w:pPr>
    </w:p>
    <w:p>
      <w:pPr>
        <w:pStyle w:val="BodyText"/>
        <w:spacing w:before="39"/>
      </w:pPr>
    </w:p>
    <w:p>
      <w:pPr>
        <w:pStyle w:val="Heading3"/>
        <w:spacing w:before="0"/>
        <w:ind w:left="748"/>
      </w:pPr>
      <w:r>
        <w:rPr>
          <w:color w:val="1A365D"/>
          <w:sz w:val="18"/>
        </w:rPr>
        <w:t>Qual è la quota minima di investimenti in attività di transizione e di supporto?</w:t>
      </w:r>
    </w:p>
    <w:p>
      <w:pPr>
        <w:pStyle w:val="BodyText"/>
        <w:spacing w:before="108" w:line="259" w:lineRule="auto"/>
        <w:ind w:left="748" w:right="242"/>
      </w:pPr>
      <w:r>
        <mc:AlternateContent>
          <mc:Choice Requires="wpg">
            <w:drawing>
              <wp:anchor distT="0" distB="0" distL="0" distR="0" simplePos="0" relativeHeight="251682816" behindDoc="0" locked="0" layoutInCell="1" allowOverlap="1">
                <wp:simplePos x="0" y="0"/>
                <wp:positionH relativeFrom="page">
                  <wp:posOffset>7620</wp:posOffset>
                </wp:positionH>
                <wp:positionV relativeFrom="paragraph">
                  <wp:posOffset>544102</wp:posOffset>
                </wp:positionV>
                <wp:extent cx="1270000" cy="485140"/>
                <wp:effectExtent l="0" t="0" r="0" b="0"/>
                <wp:wrapNone/>
                <wp:docPr id="56" name="Group 56"/>
                <wp:cNvGraphicFramePr/>
                <a:graphic xmlns:a="http://schemas.openxmlformats.org/drawingml/2006/main">
                  <a:graphicData uri="http://schemas.microsoft.com/office/word/2010/wordprocessingGroup">
                    <wpg:wgp xmlns:wpg="http://schemas.microsoft.com/office/word/2010/wordprocessingGroup">
                      <wpg:cNvGrpSpPr/>
                      <wpg:grpSpPr>
                        <a:xfrm>
                          <a:off x="0" y="0"/>
                          <a:ext cx="1270000" cy="485140"/>
                          <a:chOff x="0" y="0"/>
                          <a:chExt cx="1270000" cy="485140"/>
                        </a:xfrm>
                      </wpg:grpSpPr>
                      <wps:wsp xmlns:wps="http://schemas.microsoft.com/office/word/2010/wordprocessingShape">
                        <wps:cNvPr id="57" name="Graphic 57"/>
                        <wps:cNvSpPr/>
                        <wps:spPr>
                          <a:xfrm>
                            <a:off x="1524" y="0"/>
                            <a:ext cx="1268095" cy="485140"/>
                          </a:xfrm>
                          <a:custGeom>
                            <a:avLst/>
                            <a:gdLst/>
                            <a:rect l="l" t="t" r="r" b="b"/>
                            <a:pathLst>
                              <a:path fill="norm" h="485140" w="1268095" stroke="1">
                                <a:moveTo>
                                  <a:pt x="1267968" y="0"/>
                                </a:moveTo>
                                <a:lnTo>
                                  <a:pt x="0" y="0"/>
                                </a:lnTo>
                                <a:lnTo>
                                  <a:pt x="0" y="469392"/>
                                </a:lnTo>
                                <a:lnTo>
                                  <a:pt x="0" y="484632"/>
                                </a:lnTo>
                                <a:lnTo>
                                  <a:pt x="1267968" y="484632"/>
                                </a:lnTo>
                                <a:lnTo>
                                  <a:pt x="1267968" y="469392"/>
                                </a:lnTo>
                                <a:lnTo>
                                  <a:pt x="1267968" y="0"/>
                                </a:lnTo>
                                <a:close/>
                              </a:path>
                            </a:pathLst>
                          </a:custGeom>
                          <a:solidFill>
                            <a:srgbClr val="DBD8D6"/>
                          </a:solidFill>
                        </wps:spPr>
                        <wps:bodyPr wrap="square" lIns="0" tIns="0" rIns="0" bIns="0" rtlCol="0">
                          <a:prstTxWarp prst="textNoShape">
                            <a:avLst/>
                          </a:prstTxWarp>
                        </wps:bodyPr>
                      </wps:wsp>
                      <pic:pic xmlns:pic="http://schemas.openxmlformats.org/drawingml/2006/picture">
                        <pic:nvPicPr>
                          <pic:cNvPr id="58" name="Image 58"/>
                          <pic:cNvPicPr/>
                        </pic:nvPicPr>
                        <pic:blipFill>
                          <a:blip xmlns:r="http://schemas.openxmlformats.org/officeDocument/2006/relationships" r:embed="rId23" cstate="print"/>
                          <a:stretch>
                            <a:fillRect/>
                          </a:stretch>
                        </pic:blipFill>
                        <pic:spPr>
                          <a:xfrm>
                            <a:off x="0" y="3048"/>
                            <a:ext cx="472439" cy="469392"/>
                          </a:xfrm>
                          <a:prstGeom prst="rect">
                            <a:avLst/>
                          </a:prstGeom>
                        </pic:spPr>
                      </pic:pic>
                    </wpg:wgp>
                  </a:graphicData>
                </a:graphic>
              </wp:anchor>
            </w:drawing>
          </mc:Choice>
          <mc:Fallback>
            <w:pict>
              <v:group id="_x0000_s1057" style="width:100pt;height:38.2pt;margin-top:42.84pt;margin-left:0.6pt;mso-position-horizontal-relative:page;position:absolute;z-index:251683840" coordorigin="12,857" coordsize="2000,764">
                <v:shape id="_x0000_s1058" style="width:1997;height:764;left:14;position:absolute;top:856" coordorigin="14,857" coordsize="1997,764" path="m2011,857l14,857,14,1596,14,1620,2011,1620,2011,1596,2011,857xe" filled="t" fillcolor="#dbd8d6" stroked="f">
                  <v:fill type="solid"/>
                  <v:path arrowok="t"/>
                </v:shape>
                <v:shape id="_x0000_s1059" type="#_x0000_t75" style="width:744;height:740;left:12;position:absolute;top:861" stroked="f">
                  <v:imagedata r:id="rId23" o:title=""/>
                </v:shape>
              </v:group>
            </w:pict>
          </mc:Fallback>
        </mc:AlternateContent>
      </w:r>
      <w:r>
        <w:drawing>
          <wp:anchor distT="0" distB="0" distL="0" distR="0" simplePos="0" relativeHeight="251684864" behindDoc="0" locked="0" layoutInCell="1" allowOverlap="1">
            <wp:simplePos x="0" y="0"/>
            <wp:positionH relativeFrom="page">
              <wp:posOffset>1452372</wp:posOffset>
            </wp:positionH>
            <wp:positionV relativeFrom="paragraph">
              <wp:posOffset>574582</wp:posOffset>
            </wp:positionV>
            <wp:extent cx="467868" cy="466344"/>
            <wp:effectExtent l="0" t="0" r="0" b="0"/>
            <wp:wrapNone/>
            <wp:docPr id="59" name="Image 59"/>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xmlns:r="http://schemas.openxmlformats.org/officeDocument/2006/relationships" r:embed="rId24" cstate="print"/>
                    <a:stretch>
                      <a:fillRect/>
                    </a:stretch>
                  </pic:blipFill>
                  <pic:spPr>
                    <a:xfrm>
                      <a:off x="0" y="0"/>
                      <a:ext cx="467868" cy="466344"/>
                    </a:xfrm>
                    <a:prstGeom prst="rect">
                      <a:avLst/>
                    </a:prstGeom>
                  </pic:spPr>
                </pic:pic>
              </a:graphicData>
            </a:graphic>
          </wp:anchor>
        </w:drawing>
      </w:r>
      <w:r>
        <w:rPr>
          <w:w w:val="110"/>
          <w:sz w:val="17"/>
        </w:rPr>
        <w:t>Il Fondo non si impegna attualmente a investire in alcun investimento sostenibile ai sensi dello SFDR; di conseguenza, la quota minima di investimenti in attività di transizione e di supporto è pari allo 0%.</w:t>
      </w:r>
    </w:p>
    <w:p>
      <w:pPr>
        <w:pStyle w:val="BodyText"/>
        <w:spacing w:before="49"/>
      </w:pPr>
    </w:p>
    <w:p>
      <w:pPr>
        <w:pStyle w:val="Heading2"/>
        <w:spacing w:line="249" w:lineRule="auto"/>
        <w:ind w:left="866" w:right="340"/>
      </w:pPr>
      <w:r>
        <mc:AlternateContent>
          <mc:Choice Requires="wpg">
            <w:drawing>
              <wp:anchor distT="0" distB="0" distL="0" distR="0" simplePos="0" relativeHeight="251676672" behindDoc="0" locked="0" layoutInCell="1" allowOverlap="1">
                <wp:simplePos x="0" y="0"/>
                <wp:positionH relativeFrom="page">
                  <wp:posOffset>390144</wp:posOffset>
                </wp:positionH>
                <wp:positionV relativeFrom="paragraph">
                  <wp:posOffset>748188</wp:posOffset>
                </wp:positionV>
                <wp:extent cx="6791325" cy="114300"/>
                <wp:effectExtent l="0" t="0" r="0" b="0"/>
                <wp:wrapNone/>
                <wp:docPr id="60" name="Group 60"/>
                <wp:cNvGraphicFramePr/>
                <a:graphic xmlns:a="http://schemas.openxmlformats.org/drawingml/2006/main">
                  <a:graphicData uri="http://schemas.microsoft.com/office/word/2010/wordprocessingGroup">
                    <wpg:wgp xmlns:wpg="http://schemas.microsoft.com/office/word/2010/wordprocessingGroup">
                      <wpg:cNvGrpSpPr/>
                      <wpg:grpSpPr>
                        <a:xfrm>
                          <a:off x="0" y="0"/>
                          <a:ext cx="6791325" cy="114300"/>
                          <a:chOff x="0" y="0"/>
                          <a:chExt cx="6791325" cy="114300"/>
                        </a:xfrm>
                      </wpg:grpSpPr>
                      <wps:wsp xmlns:wps="http://schemas.microsoft.com/office/word/2010/wordprocessingShape">
                        <wps:cNvPr id="61" name="Graphic 61"/>
                        <wps:cNvSpPr/>
                        <wps:spPr>
                          <a:xfrm>
                            <a:off x="0" y="0"/>
                            <a:ext cx="273050" cy="93345"/>
                          </a:xfrm>
                          <a:custGeom>
                            <a:avLst/>
                            <a:gdLst/>
                            <a:rect l="l" t="t" r="r" b="b"/>
                            <a:pathLst>
                              <a:path fill="norm" h="93345" w="273050" stroke="1">
                                <a:moveTo>
                                  <a:pt x="19812" y="0"/>
                                </a:moveTo>
                                <a:lnTo>
                                  <a:pt x="13716" y="0"/>
                                </a:lnTo>
                                <a:lnTo>
                                  <a:pt x="1524" y="7620"/>
                                </a:lnTo>
                                <a:lnTo>
                                  <a:pt x="1524" y="9144"/>
                                </a:lnTo>
                                <a:lnTo>
                                  <a:pt x="0" y="10668"/>
                                </a:lnTo>
                                <a:lnTo>
                                  <a:pt x="0" y="12192"/>
                                </a:lnTo>
                                <a:lnTo>
                                  <a:pt x="1524" y="12192"/>
                                </a:lnTo>
                                <a:lnTo>
                                  <a:pt x="1524" y="13716"/>
                                </a:lnTo>
                                <a:lnTo>
                                  <a:pt x="3048" y="13716"/>
                                </a:lnTo>
                                <a:lnTo>
                                  <a:pt x="12192" y="9144"/>
                                </a:lnTo>
                                <a:lnTo>
                                  <a:pt x="12192" y="45720"/>
                                </a:lnTo>
                                <a:lnTo>
                                  <a:pt x="13716" y="45720"/>
                                </a:lnTo>
                                <a:lnTo>
                                  <a:pt x="13716" y="47244"/>
                                </a:lnTo>
                                <a:lnTo>
                                  <a:pt x="19812" y="47244"/>
                                </a:lnTo>
                                <a:lnTo>
                                  <a:pt x="19812" y="9144"/>
                                </a:lnTo>
                                <a:lnTo>
                                  <a:pt x="19812" y="0"/>
                                </a:lnTo>
                                <a:close/>
                              </a:path>
                              <a:path fill="norm" h="93345" w="273050" stroke="1">
                                <a:moveTo>
                                  <a:pt x="82283" y="12192"/>
                                </a:moveTo>
                                <a:lnTo>
                                  <a:pt x="42659" y="12192"/>
                                </a:lnTo>
                                <a:lnTo>
                                  <a:pt x="39611" y="15240"/>
                                </a:lnTo>
                                <a:lnTo>
                                  <a:pt x="39611" y="89916"/>
                                </a:lnTo>
                                <a:lnTo>
                                  <a:pt x="41135" y="89916"/>
                                </a:lnTo>
                                <a:lnTo>
                                  <a:pt x="41135" y="91440"/>
                                </a:lnTo>
                                <a:lnTo>
                                  <a:pt x="50279" y="91440"/>
                                </a:lnTo>
                                <a:lnTo>
                                  <a:pt x="50279" y="56388"/>
                                </a:lnTo>
                                <a:lnTo>
                                  <a:pt x="80759" y="56388"/>
                                </a:lnTo>
                                <a:lnTo>
                                  <a:pt x="80759" y="47244"/>
                                </a:lnTo>
                                <a:lnTo>
                                  <a:pt x="50279" y="47244"/>
                                </a:lnTo>
                                <a:lnTo>
                                  <a:pt x="50279" y="21336"/>
                                </a:lnTo>
                                <a:lnTo>
                                  <a:pt x="82283" y="21336"/>
                                </a:lnTo>
                                <a:lnTo>
                                  <a:pt x="82283" y="12192"/>
                                </a:lnTo>
                                <a:close/>
                              </a:path>
                              <a:path fill="norm" h="93345" w="273050" stroke="1">
                                <a:moveTo>
                                  <a:pt x="147828" y="51816"/>
                                </a:moveTo>
                                <a:lnTo>
                                  <a:pt x="146304" y="48768"/>
                                </a:lnTo>
                                <a:lnTo>
                                  <a:pt x="146304" y="44196"/>
                                </a:lnTo>
                                <a:lnTo>
                                  <a:pt x="144767" y="41148"/>
                                </a:lnTo>
                                <a:lnTo>
                                  <a:pt x="143243" y="39624"/>
                                </a:lnTo>
                                <a:lnTo>
                                  <a:pt x="137147" y="33528"/>
                                </a:lnTo>
                                <a:lnTo>
                                  <a:pt x="137147" y="50292"/>
                                </a:lnTo>
                                <a:lnTo>
                                  <a:pt x="137147" y="70104"/>
                                </a:lnTo>
                                <a:lnTo>
                                  <a:pt x="135623" y="73152"/>
                                </a:lnTo>
                                <a:lnTo>
                                  <a:pt x="135623" y="76200"/>
                                </a:lnTo>
                                <a:lnTo>
                                  <a:pt x="131051" y="80772"/>
                                </a:lnTo>
                                <a:lnTo>
                                  <a:pt x="128003" y="82296"/>
                                </a:lnTo>
                                <a:lnTo>
                                  <a:pt x="126479" y="83820"/>
                                </a:lnTo>
                                <a:lnTo>
                                  <a:pt x="115811" y="83820"/>
                                </a:lnTo>
                                <a:lnTo>
                                  <a:pt x="112763" y="82296"/>
                                </a:lnTo>
                                <a:lnTo>
                                  <a:pt x="108191" y="77724"/>
                                </a:lnTo>
                                <a:lnTo>
                                  <a:pt x="106667" y="74676"/>
                                </a:lnTo>
                                <a:lnTo>
                                  <a:pt x="105143" y="73152"/>
                                </a:lnTo>
                                <a:lnTo>
                                  <a:pt x="105143" y="67056"/>
                                </a:lnTo>
                                <a:lnTo>
                                  <a:pt x="103619" y="64008"/>
                                </a:lnTo>
                                <a:lnTo>
                                  <a:pt x="103619" y="57912"/>
                                </a:lnTo>
                                <a:lnTo>
                                  <a:pt x="105143" y="54864"/>
                                </a:lnTo>
                                <a:lnTo>
                                  <a:pt x="105143" y="53340"/>
                                </a:lnTo>
                                <a:lnTo>
                                  <a:pt x="106667" y="50292"/>
                                </a:lnTo>
                                <a:lnTo>
                                  <a:pt x="106667" y="47244"/>
                                </a:lnTo>
                                <a:lnTo>
                                  <a:pt x="111239" y="42672"/>
                                </a:lnTo>
                                <a:lnTo>
                                  <a:pt x="114287" y="41148"/>
                                </a:lnTo>
                                <a:lnTo>
                                  <a:pt x="115811" y="39624"/>
                                </a:lnTo>
                                <a:lnTo>
                                  <a:pt x="126479" y="39624"/>
                                </a:lnTo>
                                <a:lnTo>
                                  <a:pt x="129527" y="41148"/>
                                </a:lnTo>
                                <a:lnTo>
                                  <a:pt x="134099" y="45720"/>
                                </a:lnTo>
                                <a:lnTo>
                                  <a:pt x="135623" y="48768"/>
                                </a:lnTo>
                                <a:lnTo>
                                  <a:pt x="137147" y="50292"/>
                                </a:lnTo>
                                <a:lnTo>
                                  <a:pt x="137147" y="33528"/>
                                </a:lnTo>
                                <a:lnTo>
                                  <a:pt x="134099" y="32004"/>
                                </a:lnTo>
                                <a:lnTo>
                                  <a:pt x="129527" y="30480"/>
                                </a:lnTo>
                                <a:lnTo>
                                  <a:pt x="112763" y="30480"/>
                                </a:lnTo>
                                <a:lnTo>
                                  <a:pt x="106667" y="33528"/>
                                </a:lnTo>
                                <a:lnTo>
                                  <a:pt x="100571" y="39624"/>
                                </a:lnTo>
                                <a:lnTo>
                                  <a:pt x="99047" y="42672"/>
                                </a:lnTo>
                                <a:lnTo>
                                  <a:pt x="95999" y="45720"/>
                                </a:lnTo>
                                <a:lnTo>
                                  <a:pt x="95999" y="48768"/>
                                </a:lnTo>
                                <a:lnTo>
                                  <a:pt x="92951" y="57912"/>
                                </a:lnTo>
                                <a:lnTo>
                                  <a:pt x="92951" y="67056"/>
                                </a:lnTo>
                                <a:lnTo>
                                  <a:pt x="94475" y="71628"/>
                                </a:lnTo>
                                <a:lnTo>
                                  <a:pt x="95999" y="74676"/>
                                </a:lnTo>
                                <a:lnTo>
                                  <a:pt x="95999" y="79248"/>
                                </a:lnTo>
                                <a:lnTo>
                                  <a:pt x="97523" y="82296"/>
                                </a:lnTo>
                                <a:lnTo>
                                  <a:pt x="105143" y="89916"/>
                                </a:lnTo>
                                <a:lnTo>
                                  <a:pt x="108191" y="91440"/>
                                </a:lnTo>
                                <a:lnTo>
                                  <a:pt x="112763" y="91440"/>
                                </a:lnTo>
                                <a:lnTo>
                                  <a:pt x="115811" y="92964"/>
                                </a:lnTo>
                                <a:lnTo>
                                  <a:pt x="124955" y="92964"/>
                                </a:lnTo>
                                <a:lnTo>
                                  <a:pt x="129527" y="91440"/>
                                </a:lnTo>
                                <a:lnTo>
                                  <a:pt x="138671" y="86868"/>
                                </a:lnTo>
                                <a:lnTo>
                                  <a:pt x="141719" y="83820"/>
                                </a:lnTo>
                                <a:lnTo>
                                  <a:pt x="143243" y="80772"/>
                                </a:lnTo>
                                <a:lnTo>
                                  <a:pt x="146304" y="77724"/>
                                </a:lnTo>
                                <a:lnTo>
                                  <a:pt x="146304" y="73152"/>
                                </a:lnTo>
                                <a:lnTo>
                                  <a:pt x="147828" y="70104"/>
                                </a:lnTo>
                                <a:lnTo>
                                  <a:pt x="147828" y="51816"/>
                                </a:lnTo>
                                <a:close/>
                              </a:path>
                              <a:path fill="norm" h="93345" w="273050" stroke="1">
                                <a:moveTo>
                                  <a:pt x="198107" y="68580"/>
                                </a:moveTo>
                                <a:lnTo>
                                  <a:pt x="193535" y="64008"/>
                                </a:lnTo>
                                <a:lnTo>
                                  <a:pt x="193535" y="62484"/>
                                </a:lnTo>
                                <a:lnTo>
                                  <a:pt x="192011" y="60960"/>
                                </a:lnTo>
                                <a:lnTo>
                                  <a:pt x="188963" y="60960"/>
                                </a:lnTo>
                                <a:lnTo>
                                  <a:pt x="187439" y="59436"/>
                                </a:lnTo>
                                <a:lnTo>
                                  <a:pt x="185915" y="59436"/>
                                </a:lnTo>
                                <a:lnTo>
                                  <a:pt x="184391" y="57912"/>
                                </a:lnTo>
                                <a:lnTo>
                                  <a:pt x="182867" y="57912"/>
                                </a:lnTo>
                                <a:lnTo>
                                  <a:pt x="181343" y="56388"/>
                                </a:lnTo>
                                <a:lnTo>
                                  <a:pt x="178295" y="56388"/>
                                </a:lnTo>
                                <a:lnTo>
                                  <a:pt x="176771" y="54864"/>
                                </a:lnTo>
                                <a:lnTo>
                                  <a:pt x="175247" y="54864"/>
                                </a:lnTo>
                                <a:lnTo>
                                  <a:pt x="169151" y="48768"/>
                                </a:lnTo>
                                <a:lnTo>
                                  <a:pt x="169151" y="45720"/>
                                </a:lnTo>
                                <a:lnTo>
                                  <a:pt x="170675" y="44196"/>
                                </a:lnTo>
                                <a:lnTo>
                                  <a:pt x="170675" y="42672"/>
                                </a:lnTo>
                                <a:lnTo>
                                  <a:pt x="175247" y="38100"/>
                                </a:lnTo>
                                <a:lnTo>
                                  <a:pt x="185915" y="38100"/>
                                </a:lnTo>
                                <a:lnTo>
                                  <a:pt x="187439" y="39624"/>
                                </a:lnTo>
                                <a:lnTo>
                                  <a:pt x="188963" y="39624"/>
                                </a:lnTo>
                                <a:lnTo>
                                  <a:pt x="190487" y="41148"/>
                                </a:lnTo>
                                <a:lnTo>
                                  <a:pt x="192011" y="41148"/>
                                </a:lnTo>
                                <a:lnTo>
                                  <a:pt x="193535" y="42672"/>
                                </a:lnTo>
                                <a:lnTo>
                                  <a:pt x="195059" y="42672"/>
                                </a:lnTo>
                                <a:lnTo>
                                  <a:pt x="195059" y="38100"/>
                                </a:lnTo>
                                <a:lnTo>
                                  <a:pt x="195059" y="35052"/>
                                </a:lnTo>
                                <a:lnTo>
                                  <a:pt x="193535" y="35052"/>
                                </a:lnTo>
                                <a:lnTo>
                                  <a:pt x="193535" y="33528"/>
                                </a:lnTo>
                                <a:lnTo>
                                  <a:pt x="192011" y="33528"/>
                                </a:lnTo>
                                <a:lnTo>
                                  <a:pt x="192011" y="32004"/>
                                </a:lnTo>
                                <a:lnTo>
                                  <a:pt x="187439" y="32004"/>
                                </a:lnTo>
                                <a:lnTo>
                                  <a:pt x="187439" y="30480"/>
                                </a:lnTo>
                                <a:lnTo>
                                  <a:pt x="175247" y="30480"/>
                                </a:lnTo>
                                <a:lnTo>
                                  <a:pt x="172199" y="32004"/>
                                </a:lnTo>
                                <a:lnTo>
                                  <a:pt x="169151" y="32004"/>
                                </a:lnTo>
                                <a:lnTo>
                                  <a:pt x="163055" y="38100"/>
                                </a:lnTo>
                                <a:lnTo>
                                  <a:pt x="161531" y="41148"/>
                                </a:lnTo>
                                <a:lnTo>
                                  <a:pt x="161531" y="42672"/>
                                </a:lnTo>
                                <a:lnTo>
                                  <a:pt x="160007" y="45720"/>
                                </a:lnTo>
                                <a:lnTo>
                                  <a:pt x="160007" y="50292"/>
                                </a:lnTo>
                                <a:lnTo>
                                  <a:pt x="161531" y="51816"/>
                                </a:lnTo>
                                <a:lnTo>
                                  <a:pt x="161531" y="53340"/>
                                </a:lnTo>
                                <a:lnTo>
                                  <a:pt x="163055" y="54864"/>
                                </a:lnTo>
                                <a:lnTo>
                                  <a:pt x="163055" y="56388"/>
                                </a:lnTo>
                                <a:lnTo>
                                  <a:pt x="169151" y="62484"/>
                                </a:lnTo>
                                <a:lnTo>
                                  <a:pt x="170675" y="62484"/>
                                </a:lnTo>
                                <a:lnTo>
                                  <a:pt x="172199" y="64008"/>
                                </a:lnTo>
                                <a:lnTo>
                                  <a:pt x="173723" y="64008"/>
                                </a:lnTo>
                                <a:lnTo>
                                  <a:pt x="176771" y="65532"/>
                                </a:lnTo>
                                <a:lnTo>
                                  <a:pt x="179819" y="65532"/>
                                </a:lnTo>
                                <a:lnTo>
                                  <a:pt x="181343" y="67056"/>
                                </a:lnTo>
                                <a:lnTo>
                                  <a:pt x="182867" y="67056"/>
                                </a:lnTo>
                                <a:lnTo>
                                  <a:pt x="187439" y="71628"/>
                                </a:lnTo>
                                <a:lnTo>
                                  <a:pt x="187439" y="80772"/>
                                </a:lnTo>
                                <a:lnTo>
                                  <a:pt x="185915" y="82296"/>
                                </a:lnTo>
                                <a:lnTo>
                                  <a:pt x="184391" y="82296"/>
                                </a:lnTo>
                                <a:lnTo>
                                  <a:pt x="184391" y="83820"/>
                                </a:lnTo>
                                <a:lnTo>
                                  <a:pt x="182867" y="83820"/>
                                </a:lnTo>
                                <a:lnTo>
                                  <a:pt x="181343" y="85344"/>
                                </a:lnTo>
                                <a:lnTo>
                                  <a:pt x="172199" y="85344"/>
                                </a:lnTo>
                                <a:lnTo>
                                  <a:pt x="170675" y="83820"/>
                                </a:lnTo>
                                <a:lnTo>
                                  <a:pt x="169151" y="83820"/>
                                </a:lnTo>
                                <a:lnTo>
                                  <a:pt x="167627" y="82296"/>
                                </a:lnTo>
                                <a:lnTo>
                                  <a:pt x="166103" y="82296"/>
                                </a:lnTo>
                                <a:lnTo>
                                  <a:pt x="164579" y="80772"/>
                                </a:lnTo>
                                <a:lnTo>
                                  <a:pt x="163055" y="80772"/>
                                </a:lnTo>
                                <a:lnTo>
                                  <a:pt x="161531" y="79248"/>
                                </a:lnTo>
                                <a:lnTo>
                                  <a:pt x="160007" y="79248"/>
                                </a:lnTo>
                                <a:lnTo>
                                  <a:pt x="160007" y="80772"/>
                                </a:lnTo>
                                <a:lnTo>
                                  <a:pt x="158483" y="80772"/>
                                </a:lnTo>
                                <a:lnTo>
                                  <a:pt x="158483" y="85344"/>
                                </a:lnTo>
                                <a:lnTo>
                                  <a:pt x="160007" y="85344"/>
                                </a:lnTo>
                                <a:lnTo>
                                  <a:pt x="160007" y="86868"/>
                                </a:lnTo>
                                <a:lnTo>
                                  <a:pt x="161531" y="88392"/>
                                </a:lnTo>
                                <a:lnTo>
                                  <a:pt x="163055" y="88392"/>
                                </a:lnTo>
                                <a:lnTo>
                                  <a:pt x="163055" y="89916"/>
                                </a:lnTo>
                                <a:lnTo>
                                  <a:pt x="164579" y="89916"/>
                                </a:lnTo>
                                <a:lnTo>
                                  <a:pt x="166103" y="91440"/>
                                </a:lnTo>
                                <a:lnTo>
                                  <a:pt x="169151" y="91440"/>
                                </a:lnTo>
                                <a:lnTo>
                                  <a:pt x="170675" y="92964"/>
                                </a:lnTo>
                                <a:lnTo>
                                  <a:pt x="182867" y="92964"/>
                                </a:lnTo>
                                <a:lnTo>
                                  <a:pt x="185915" y="91440"/>
                                </a:lnTo>
                                <a:lnTo>
                                  <a:pt x="188963" y="91440"/>
                                </a:lnTo>
                                <a:lnTo>
                                  <a:pt x="192011" y="88392"/>
                                </a:lnTo>
                                <a:lnTo>
                                  <a:pt x="195059" y="86868"/>
                                </a:lnTo>
                                <a:lnTo>
                                  <a:pt x="196583" y="85344"/>
                                </a:lnTo>
                                <a:lnTo>
                                  <a:pt x="196583" y="82296"/>
                                </a:lnTo>
                                <a:lnTo>
                                  <a:pt x="198107" y="80772"/>
                                </a:lnTo>
                                <a:lnTo>
                                  <a:pt x="198107" y="68580"/>
                                </a:lnTo>
                                <a:close/>
                              </a:path>
                              <a:path fill="norm" h="93345" w="273050" stroke="1">
                                <a:moveTo>
                                  <a:pt x="248412" y="68580"/>
                                </a:moveTo>
                                <a:lnTo>
                                  <a:pt x="243840" y="64008"/>
                                </a:lnTo>
                                <a:lnTo>
                                  <a:pt x="243840" y="62484"/>
                                </a:lnTo>
                                <a:lnTo>
                                  <a:pt x="242316" y="60960"/>
                                </a:lnTo>
                                <a:lnTo>
                                  <a:pt x="239268" y="60960"/>
                                </a:lnTo>
                                <a:lnTo>
                                  <a:pt x="237744" y="59436"/>
                                </a:lnTo>
                                <a:lnTo>
                                  <a:pt x="236220" y="59436"/>
                                </a:lnTo>
                                <a:lnTo>
                                  <a:pt x="234696" y="57912"/>
                                </a:lnTo>
                                <a:lnTo>
                                  <a:pt x="233172" y="57912"/>
                                </a:lnTo>
                                <a:lnTo>
                                  <a:pt x="231648" y="56388"/>
                                </a:lnTo>
                                <a:lnTo>
                                  <a:pt x="228600" y="56388"/>
                                </a:lnTo>
                                <a:lnTo>
                                  <a:pt x="227076" y="54864"/>
                                </a:lnTo>
                                <a:lnTo>
                                  <a:pt x="225552" y="54864"/>
                                </a:lnTo>
                                <a:lnTo>
                                  <a:pt x="219456" y="48768"/>
                                </a:lnTo>
                                <a:lnTo>
                                  <a:pt x="219456" y="45720"/>
                                </a:lnTo>
                                <a:lnTo>
                                  <a:pt x="220980" y="44196"/>
                                </a:lnTo>
                                <a:lnTo>
                                  <a:pt x="220980" y="42672"/>
                                </a:lnTo>
                                <a:lnTo>
                                  <a:pt x="225552" y="38100"/>
                                </a:lnTo>
                                <a:lnTo>
                                  <a:pt x="236220" y="38100"/>
                                </a:lnTo>
                                <a:lnTo>
                                  <a:pt x="237744" y="39624"/>
                                </a:lnTo>
                                <a:lnTo>
                                  <a:pt x="239268" y="39624"/>
                                </a:lnTo>
                                <a:lnTo>
                                  <a:pt x="240792" y="41148"/>
                                </a:lnTo>
                                <a:lnTo>
                                  <a:pt x="242316" y="41148"/>
                                </a:lnTo>
                                <a:lnTo>
                                  <a:pt x="243840" y="42672"/>
                                </a:lnTo>
                                <a:lnTo>
                                  <a:pt x="245364" y="42672"/>
                                </a:lnTo>
                                <a:lnTo>
                                  <a:pt x="245364" y="38100"/>
                                </a:lnTo>
                                <a:lnTo>
                                  <a:pt x="245364" y="35052"/>
                                </a:lnTo>
                                <a:lnTo>
                                  <a:pt x="243840" y="35052"/>
                                </a:lnTo>
                                <a:lnTo>
                                  <a:pt x="243840" y="33528"/>
                                </a:lnTo>
                                <a:lnTo>
                                  <a:pt x="242316" y="33528"/>
                                </a:lnTo>
                                <a:lnTo>
                                  <a:pt x="242316" y="32004"/>
                                </a:lnTo>
                                <a:lnTo>
                                  <a:pt x="237744" y="32004"/>
                                </a:lnTo>
                                <a:lnTo>
                                  <a:pt x="237744" y="30480"/>
                                </a:lnTo>
                                <a:lnTo>
                                  <a:pt x="225552" y="30480"/>
                                </a:lnTo>
                                <a:lnTo>
                                  <a:pt x="222504" y="32004"/>
                                </a:lnTo>
                                <a:lnTo>
                                  <a:pt x="219456" y="32004"/>
                                </a:lnTo>
                                <a:lnTo>
                                  <a:pt x="213360" y="38100"/>
                                </a:lnTo>
                                <a:lnTo>
                                  <a:pt x="211836" y="41148"/>
                                </a:lnTo>
                                <a:lnTo>
                                  <a:pt x="211836" y="42672"/>
                                </a:lnTo>
                                <a:lnTo>
                                  <a:pt x="210312" y="45720"/>
                                </a:lnTo>
                                <a:lnTo>
                                  <a:pt x="210312" y="50292"/>
                                </a:lnTo>
                                <a:lnTo>
                                  <a:pt x="211836" y="51816"/>
                                </a:lnTo>
                                <a:lnTo>
                                  <a:pt x="211836" y="53340"/>
                                </a:lnTo>
                                <a:lnTo>
                                  <a:pt x="213360" y="54864"/>
                                </a:lnTo>
                                <a:lnTo>
                                  <a:pt x="213360" y="56388"/>
                                </a:lnTo>
                                <a:lnTo>
                                  <a:pt x="219456" y="62484"/>
                                </a:lnTo>
                                <a:lnTo>
                                  <a:pt x="220980" y="62484"/>
                                </a:lnTo>
                                <a:lnTo>
                                  <a:pt x="222504" y="64008"/>
                                </a:lnTo>
                                <a:lnTo>
                                  <a:pt x="224028" y="64008"/>
                                </a:lnTo>
                                <a:lnTo>
                                  <a:pt x="227076" y="65532"/>
                                </a:lnTo>
                                <a:lnTo>
                                  <a:pt x="230124" y="65532"/>
                                </a:lnTo>
                                <a:lnTo>
                                  <a:pt x="231648" y="67056"/>
                                </a:lnTo>
                                <a:lnTo>
                                  <a:pt x="233172" y="67056"/>
                                </a:lnTo>
                                <a:lnTo>
                                  <a:pt x="237744" y="71628"/>
                                </a:lnTo>
                                <a:lnTo>
                                  <a:pt x="237744" y="80772"/>
                                </a:lnTo>
                                <a:lnTo>
                                  <a:pt x="236220" y="82296"/>
                                </a:lnTo>
                                <a:lnTo>
                                  <a:pt x="234696" y="82296"/>
                                </a:lnTo>
                                <a:lnTo>
                                  <a:pt x="234696" y="83820"/>
                                </a:lnTo>
                                <a:lnTo>
                                  <a:pt x="233172" y="83820"/>
                                </a:lnTo>
                                <a:lnTo>
                                  <a:pt x="231648" y="85344"/>
                                </a:lnTo>
                                <a:lnTo>
                                  <a:pt x="222504" y="85344"/>
                                </a:lnTo>
                                <a:lnTo>
                                  <a:pt x="220980" y="83820"/>
                                </a:lnTo>
                                <a:lnTo>
                                  <a:pt x="219456" y="83820"/>
                                </a:lnTo>
                                <a:lnTo>
                                  <a:pt x="217932" y="82296"/>
                                </a:lnTo>
                                <a:lnTo>
                                  <a:pt x="216408" y="82296"/>
                                </a:lnTo>
                                <a:lnTo>
                                  <a:pt x="214884" y="80772"/>
                                </a:lnTo>
                                <a:lnTo>
                                  <a:pt x="213360" y="80772"/>
                                </a:lnTo>
                                <a:lnTo>
                                  <a:pt x="211836" y="79248"/>
                                </a:lnTo>
                                <a:lnTo>
                                  <a:pt x="210312" y="79248"/>
                                </a:lnTo>
                                <a:lnTo>
                                  <a:pt x="210312" y="80772"/>
                                </a:lnTo>
                                <a:lnTo>
                                  <a:pt x="208788" y="80772"/>
                                </a:lnTo>
                                <a:lnTo>
                                  <a:pt x="208788" y="85344"/>
                                </a:lnTo>
                                <a:lnTo>
                                  <a:pt x="210312" y="85344"/>
                                </a:lnTo>
                                <a:lnTo>
                                  <a:pt x="210312" y="86868"/>
                                </a:lnTo>
                                <a:lnTo>
                                  <a:pt x="211836" y="88392"/>
                                </a:lnTo>
                                <a:lnTo>
                                  <a:pt x="213360" y="88392"/>
                                </a:lnTo>
                                <a:lnTo>
                                  <a:pt x="213360" y="89916"/>
                                </a:lnTo>
                                <a:lnTo>
                                  <a:pt x="214884" y="89916"/>
                                </a:lnTo>
                                <a:lnTo>
                                  <a:pt x="216408" y="91440"/>
                                </a:lnTo>
                                <a:lnTo>
                                  <a:pt x="219456" y="91440"/>
                                </a:lnTo>
                                <a:lnTo>
                                  <a:pt x="220980" y="92964"/>
                                </a:lnTo>
                                <a:lnTo>
                                  <a:pt x="233172" y="92964"/>
                                </a:lnTo>
                                <a:lnTo>
                                  <a:pt x="236220" y="91440"/>
                                </a:lnTo>
                                <a:lnTo>
                                  <a:pt x="239268" y="91440"/>
                                </a:lnTo>
                                <a:lnTo>
                                  <a:pt x="242316" y="88392"/>
                                </a:lnTo>
                                <a:lnTo>
                                  <a:pt x="245364" y="86868"/>
                                </a:lnTo>
                                <a:lnTo>
                                  <a:pt x="246888" y="85344"/>
                                </a:lnTo>
                                <a:lnTo>
                                  <a:pt x="246888" y="82296"/>
                                </a:lnTo>
                                <a:lnTo>
                                  <a:pt x="248412" y="80772"/>
                                </a:lnTo>
                                <a:lnTo>
                                  <a:pt x="248412" y="68580"/>
                                </a:lnTo>
                                <a:close/>
                              </a:path>
                              <a:path fill="norm" h="93345" w="273050" stroke="1">
                                <a:moveTo>
                                  <a:pt x="272783" y="32004"/>
                                </a:moveTo>
                                <a:lnTo>
                                  <a:pt x="263639" y="32004"/>
                                </a:lnTo>
                                <a:lnTo>
                                  <a:pt x="263639" y="33528"/>
                                </a:lnTo>
                                <a:lnTo>
                                  <a:pt x="262115" y="33528"/>
                                </a:lnTo>
                                <a:lnTo>
                                  <a:pt x="262115" y="89916"/>
                                </a:lnTo>
                                <a:lnTo>
                                  <a:pt x="263639" y="89916"/>
                                </a:lnTo>
                                <a:lnTo>
                                  <a:pt x="263639" y="91440"/>
                                </a:lnTo>
                                <a:lnTo>
                                  <a:pt x="272783" y="91440"/>
                                </a:lnTo>
                                <a:lnTo>
                                  <a:pt x="272783" y="32004"/>
                                </a:lnTo>
                                <a:close/>
                              </a:path>
                              <a:path fill="norm" h="93345" w="273050" stroke="1">
                                <a:moveTo>
                                  <a:pt x="272783" y="10668"/>
                                </a:moveTo>
                                <a:lnTo>
                                  <a:pt x="271259" y="9144"/>
                                </a:lnTo>
                                <a:lnTo>
                                  <a:pt x="263639" y="9144"/>
                                </a:lnTo>
                                <a:lnTo>
                                  <a:pt x="260591" y="12192"/>
                                </a:lnTo>
                                <a:lnTo>
                                  <a:pt x="260591" y="16764"/>
                                </a:lnTo>
                                <a:lnTo>
                                  <a:pt x="262115" y="19812"/>
                                </a:lnTo>
                                <a:lnTo>
                                  <a:pt x="263639" y="21336"/>
                                </a:lnTo>
                                <a:lnTo>
                                  <a:pt x="271259" y="21336"/>
                                </a:lnTo>
                                <a:lnTo>
                                  <a:pt x="272783" y="19812"/>
                                </a:lnTo>
                                <a:lnTo>
                                  <a:pt x="272783" y="10668"/>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62" name="Image 62"/>
                          <pic:cNvPicPr/>
                        </pic:nvPicPr>
                        <pic:blipFill>
                          <a:blip xmlns:r="http://schemas.openxmlformats.org/officeDocument/2006/relationships" r:embed="rId25" cstate="print"/>
                          <a:stretch>
                            <a:fillRect/>
                          </a:stretch>
                        </pic:blipFill>
                        <pic:spPr>
                          <a:xfrm>
                            <a:off x="291083" y="0"/>
                            <a:ext cx="2037588" cy="114300"/>
                          </a:xfrm>
                          <a:prstGeom prst="rect">
                            <a:avLst/>
                          </a:prstGeom>
                        </pic:spPr>
                      </pic:pic>
                      <pic:pic xmlns:pic="http://schemas.openxmlformats.org/drawingml/2006/picture">
                        <pic:nvPicPr>
                          <pic:cNvPr id="63" name="Image 63"/>
                          <pic:cNvPicPr/>
                        </pic:nvPicPr>
                        <pic:blipFill>
                          <a:blip xmlns:r="http://schemas.openxmlformats.org/officeDocument/2006/relationships" r:embed="rId26" cstate="print"/>
                          <a:stretch>
                            <a:fillRect/>
                          </a:stretch>
                        </pic:blipFill>
                        <pic:spPr>
                          <a:xfrm>
                            <a:off x="2348484" y="6096"/>
                            <a:ext cx="3220211" cy="108204"/>
                          </a:xfrm>
                          <a:prstGeom prst="rect">
                            <a:avLst/>
                          </a:prstGeom>
                        </pic:spPr>
                      </pic:pic>
                      <pic:pic xmlns:pic="http://schemas.openxmlformats.org/drawingml/2006/picture">
                        <pic:nvPicPr>
                          <pic:cNvPr id="64" name="Image 64"/>
                          <pic:cNvPicPr/>
                        </pic:nvPicPr>
                        <pic:blipFill>
                          <a:blip xmlns:r="http://schemas.openxmlformats.org/officeDocument/2006/relationships" r:embed="rId27" cstate="print"/>
                          <a:stretch>
                            <a:fillRect/>
                          </a:stretch>
                        </pic:blipFill>
                        <pic:spPr>
                          <a:xfrm>
                            <a:off x="5612891" y="6096"/>
                            <a:ext cx="1178051" cy="108204"/>
                          </a:xfrm>
                          <a:prstGeom prst="rect">
                            <a:avLst/>
                          </a:prstGeom>
                        </pic:spPr>
                      </pic:pic>
                    </wpg:wgp>
                  </a:graphicData>
                </a:graphic>
              </wp:anchor>
            </w:drawing>
          </mc:Choice>
          <mc:Fallback>
            <w:pict>
              <v:group id="_x0000_s1060" style="width:534.75pt;height:9pt;margin-top:58.91pt;margin-left:30.72pt;mso-position-horizontal-relative:page;position:absolute;z-index:251677696" coordorigin="614,1178" coordsize="10695,180">
                <v:shape id="_x0000_s1061" style="width:430;height:147;left:614;position:absolute;top:1178" coordorigin="614,1178" coordsize="430,147" path="m646,1178l636,1178,617,1190,617,1193,614,1195,614,1197,617,1197,617,1200,619,1200,634,1193,634,1250,636,1250,636,1253,646,1253,646,1193,646,1178xm744,1197l682,1197,677,1202,677,1320,679,1320,679,1322,694,1322,694,1267,742,1267,742,1253,694,1253,694,1212,744,1212,744,1197xm847,1260l845,1255,845,1248,842,1243,840,1241,830,1231,830,1257,830,1289,828,1293,828,1298,821,1305,816,1308,814,1310,797,1310,792,1308,785,1301,782,1296,780,1293,780,1284,778,1279,778,1269,780,1265,780,1262,782,1257,782,1253,790,1245,794,1243,797,1241,814,1241,818,1243,826,1250,828,1255,830,1257,830,1231,826,1229,818,1226,792,1226,782,1231,773,1241,770,1245,766,1250,766,1255,761,1269,761,1284,763,1291,766,1296,766,1303,768,1308,780,1320,785,1322,792,1322,797,1325,811,1325,818,1322,833,1315,838,1310,840,1305,845,1301,845,1293,847,1289,847,1260xm926,1286l919,1279,919,1277,917,1274,912,1274,910,1272,907,1272,905,1269,902,1269,900,1267,895,1267,893,1265,890,1265,881,1255,881,1250,883,1248,883,1245,890,1238,907,1238,910,1241,912,1241,914,1243,917,1243,919,1245,922,1245,922,1238,922,1233,919,1233,919,1231,917,1231,917,1229,910,1229,910,1226,890,1226,886,1229,881,1229,871,1238,869,1243,869,1245,866,1250,866,1257,869,1260,869,1262,871,1265,871,1267,881,1277,883,1277,886,1279,888,1279,893,1281,898,1281,900,1284,902,1284,910,1291,910,1305,907,1308,905,1308,905,1310,902,1310,900,1313,886,1313,883,1310,881,1310,878,1308,876,1308,874,1305,871,1305,869,1303,866,1303,866,1305,864,1305,864,1313,866,1313,866,1315,869,1317,871,1317,871,1320,874,1320,876,1322,881,1322,883,1325,902,1325,907,1322,912,1322,917,1317,922,1315,924,1313,924,1308,926,1305,926,1286xm1006,1286l998,1279,998,1277,996,1274,991,1274,989,1272,986,1272,984,1269,982,1269,979,1267,974,1267,972,1265,970,1265,960,1255,960,1250,962,1248,962,1245,970,1238,986,1238,989,1241,991,1241,994,1243,996,1243,998,1245,1001,1245,1001,1238,1001,1233,998,1233,998,1231,996,1231,996,1229,989,1229,989,1226,970,1226,965,1229,960,1229,950,1238,948,1243,948,1245,946,1250,946,1257,948,1260,948,1262,950,1265,950,1267,960,1277,962,1277,965,1279,967,1279,972,1281,977,1281,979,1284,982,1284,989,1291,989,1305,986,1308,984,1308,984,1310,982,1310,979,1313,965,1313,962,1310,960,1310,958,1308,955,1308,953,1305,950,1305,948,1303,946,1303,946,1305,943,1305,943,1313,946,1313,946,1315,948,1317,950,1317,950,1320,953,1320,955,1322,960,1322,962,1325,982,1325,986,1322,991,1322,996,1317,1001,1315,1003,1313,1003,1308,1006,1305,1006,1286xm1044,1229l1030,1229,1030,1231,1027,1231,1027,1320,1030,1320,1030,1322,1044,1322,1044,1229xm1044,1195l1042,1193,1030,1193,1025,1197,1025,1205,1027,1209,1030,1212,1042,1212,1044,1209,1044,1195xe" filled="t" fillcolor="black" stroked="f">
                  <v:fill type="solid"/>
                  <v:path arrowok="t"/>
                </v:shape>
                <v:shape id="_x0000_s1062" type="#_x0000_t75" style="width:3209;height:180;left:1072;position:absolute;top:1178" stroked="f">
                  <v:imagedata r:id="rId25" o:title=""/>
                </v:shape>
                <v:shape id="_x0000_s1063" type="#_x0000_t75" style="width:5072;height:171;left:4312;position:absolute;top:1187" stroked="f">
                  <v:imagedata r:id="rId26" o:title=""/>
                </v:shape>
                <v:shape id="_x0000_s1064" type="#_x0000_t75" style="width:1856;height:171;left:9453;position:absolute;top:1187" stroked="f">
                  <v:imagedata r:id="rId27" o:title=""/>
                </v:shape>
              </v:group>
            </w:pict>
          </mc:Fallback>
        </mc:AlternateContent>
      </w:r>
      <w:r>
        <mc:AlternateContent>
          <mc:Choice Requires="wpg">
            <w:drawing>
              <wp:anchor distT="0" distB="0" distL="0" distR="0" simplePos="0" relativeHeight="251680768" behindDoc="0" locked="0" layoutInCell="1" allowOverlap="1">
                <wp:simplePos x="0" y="0"/>
                <wp:positionH relativeFrom="page">
                  <wp:posOffset>390144</wp:posOffset>
                </wp:positionH>
                <wp:positionV relativeFrom="paragraph">
                  <wp:posOffset>1110900</wp:posOffset>
                </wp:positionV>
                <wp:extent cx="6830695" cy="109855"/>
                <wp:effectExtent l="0" t="0" r="0" b="0"/>
                <wp:wrapNone/>
                <wp:docPr id="65" name="Group 65"/>
                <wp:cNvGraphicFramePr/>
                <a:graphic xmlns:a="http://schemas.openxmlformats.org/drawingml/2006/main">
                  <a:graphicData uri="http://schemas.microsoft.com/office/word/2010/wordprocessingGroup">
                    <wpg:wgp xmlns:wpg="http://schemas.microsoft.com/office/word/2010/wordprocessingGroup">
                      <wpg:cNvGrpSpPr/>
                      <wpg:grpSpPr>
                        <a:xfrm>
                          <a:off x="0" y="0"/>
                          <a:ext cx="6830695" cy="109855"/>
                          <a:chOff x="0" y="0"/>
                          <a:chExt cx="6830695" cy="109855"/>
                        </a:xfrm>
                      </wpg:grpSpPr>
                      <pic:pic xmlns:pic="http://schemas.openxmlformats.org/drawingml/2006/picture">
                        <pic:nvPicPr>
                          <pic:cNvPr id="66" name="Image 66"/>
                          <pic:cNvPicPr/>
                        </pic:nvPicPr>
                        <pic:blipFill>
                          <a:blip xmlns:r="http://schemas.openxmlformats.org/officeDocument/2006/relationships" r:embed="rId28" cstate="print"/>
                          <a:stretch>
                            <a:fillRect/>
                          </a:stretch>
                        </pic:blipFill>
                        <pic:spPr>
                          <a:xfrm>
                            <a:off x="0" y="1524"/>
                            <a:ext cx="184403" cy="86867"/>
                          </a:xfrm>
                          <a:prstGeom prst="rect">
                            <a:avLst/>
                          </a:prstGeom>
                        </pic:spPr>
                      </pic:pic>
                      <pic:pic xmlns:pic="http://schemas.openxmlformats.org/drawingml/2006/picture">
                        <pic:nvPicPr>
                          <pic:cNvPr id="67" name="Image 67"/>
                          <pic:cNvPicPr/>
                        </pic:nvPicPr>
                        <pic:blipFill>
                          <a:blip xmlns:r="http://schemas.openxmlformats.org/officeDocument/2006/relationships" r:embed="rId29" cstate="print"/>
                          <a:stretch>
                            <a:fillRect/>
                          </a:stretch>
                        </pic:blipFill>
                        <pic:spPr>
                          <a:xfrm>
                            <a:off x="220980" y="0"/>
                            <a:ext cx="91439" cy="88392"/>
                          </a:xfrm>
                          <a:prstGeom prst="rect">
                            <a:avLst/>
                          </a:prstGeom>
                        </pic:spPr>
                      </pic:pic>
                      <pic:pic xmlns:pic="http://schemas.openxmlformats.org/drawingml/2006/picture">
                        <pic:nvPicPr>
                          <pic:cNvPr id="68" name="Image 68"/>
                          <pic:cNvPicPr/>
                        </pic:nvPicPr>
                        <pic:blipFill>
                          <a:blip xmlns:r="http://schemas.openxmlformats.org/officeDocument/2006/relationships" r:embed="rId30" cstate="print"/>
                          <a:stretch>
                            <a:fillRect/>
                          </a:stretch>
                        </pic:blipFill>
                        <pic:spPr>
                          <a:xfrm>
                            <a:off x="332231" y="0"/>
                            <a:ext cx="877824" cy="88392"/>
                          </a:xfrm>
                          <a:prstGeom prst="rect">
                            <a:avLst/>
                          </a:prstGeom>
                        </pic:spPr>
                      </pic:pic>
                      <pic:pic xmlns:pic="http://schemas.openxmlformats.org/drawingml/2006/picture">
                        <pic:nvPicPr>
                          <pic:cNvPr id="69" name="Image 69"/>
                          <pic:cNvPicPr/>
                        </pic:nvPicPr>
                        <pic:blipFill>
                          <a:blip xmlns:r="http://schemas.openxmlformats.org/officeDocument/2006/relationships" r:embed="rId31" cstate="print"/>
                          <a:stretch>
                            <a:fillRect/>
                          </a:stretch>
                        </pic:blipFill>
                        <pic:spPr>
                          <a:xfrm>
                            <a:off x="1228343" y="1524"/>
                            <a:ext cx="4288535" cy="108204"/>
                          </a:xfrm>
                          <a:prstGeom prst="rect">
                            <a:avLst/>
                          </a:prstGeom>
                        </pic:spPr>
                      </pic:pic>
                      <pic:pic xmlns:pic="http://schemas.openxmlformats.org/drawingml/2006/picture">
                        <pic:nvPicPr>
                          <pic:cNvPr id="70" name="Image 70"/>
                          <pic:cNvPicPr/>
                        </pic:nvPicPr>
                        <pic:blipFill>
                          <a:blip xmlns:r="http://schemas.openxmlformats.org/officeDocument/2006/relationships" r:embed="rId32" cstate="print"/>
                          <a:stretch>
                            <a:fillRect/>
                          </a:stretch>
                        </pic:blipFill>
                        <pic:spPr>
                          <a:xfrm>
                            <a:off x="5559552" y="1524"/>
                            <a:ext cx="1271016" cy="86868"/>
                          </a:xfrm>
                          <a:prstGeom prst="rect">
                            <a:avLst/>
                          </a:prstGeom>
                        </pic:spPr>
                      </pic:pic>
                    </wpg:wgp>
                  </a:graphicData>
                </a:graphic>
              </wp:anchor>
            </w:drawing>
          </mc:Choice>
          <mc:Fallback>
            <w:pict>
              <v:group id="_x0000_s1065" style="width:537.85pt;height:8.65pt;margin-top:87.47pt;margin-left:30.72pt;mso-position-horizontal-relative:page;position:absolute;z-index:251681792" coordorigin="614,1749" coordsize="10757,173">
                <v:shape id="_x0000_s1066" type="#_x0000_t75" style="width:291;height:137;left:614;position:absolute;top:1751" stroked="f">
                  <v:imagedata r:id="rId28" o:title=""/>
                </v:shape>
                <v:shape id="_x0000_s1067" type="#_x0000_t75" style="width:144;height:140;left:962;position:absolute;top:1749" stroked="f">
                  <v:imagedata r:id="rId29" o:title=""/>
                </v:shape>
                <v:shape id="_x0000_s1068" type="#_x0000_t75" style="width:1383;height:140;left:1137;position:absolute;top:1749" stroked="f">
                  <v:imagedata r:id="rId30" o:title=""/>
                </v:shape>
                <v:shape id="_x0000_s1069" type="#_x0000_t75" style="width:6754;height:171;left:2548;position:absolute;top:1751" stroked="f">
                  <v:imagedata r:id="rId31" o:title=""/>
                </v:shape>
                <v:shape id="_x0000_s1070" type="#_x0000_t75" style="width:2002;height:137;left:9369;position:absolute;top:1751" stroked="f">
                  <v:imagedata r:id="rId32" o:title=""/>
                </v:shape>
              </v:group>
            </w:pict>
          </mc:Fallback>
        </mc:AlternateContent>
      </w:r>
      <w:r>
        <w:rPr>
          <w:color w:val="1A365D"/>
          <w:w w:val="105"/>
          <w:sz w:val="18"/>
        </w:rPr>
        <w:t>Qual è la quota minima di investimenti sostenibili con un obiettivo ambientale che non sono allineati alla tassonomia dell’UE?</w:t>
      </w:r>
    </w:p>
    <w:p>
      <w:pPr>
        <w:pStyle w:val="Heading2"/>
        <w:spacing w:after="0" w:line="249" w:lineRule="auto"/>
        <w:sectPr>
          <w:type w:val="continuous"/>
          <w:pgSz w:w="11910" w:h="16840"/>
          <w:pgMar w:top="0" w:right="708" w:bottom="280" w:left="0" w:header="10" w:footer="804"/>
          <w:cols w:num="2" w:space="708" w:equalWidth="0">
            <w:col w:w="1937" w:space="297"/>
            <w:col w:w="8968" w:space="0"/>
          </w:cols>
        </w:sectPr>
      </w:pPr>
    </w:p>
    <w:p>
      <w:pPr>
        <w:pStyle w:val="BodyText"/>
        <w:rPr>
          <w:b/>
          <w:sz w:val="20"/>
        </w:rPr>
      </w:pPr>
      <w:r>
        <w:rPr>
          <w:b/>
          <w:sz w:val="20"/>
        </w:rPr>
        <mc:AlternateContent>
          <mc:Choice Requires="wpg">
            <w:drawing>
              <wp:anchor distT="0" distB="0" distL="0" distR="0" simplePos="0" relativeHeight="251678720" behindDoc="0" locked="0" layoutInCell="1" allowOverlap="1">
                <wp:simplePos x="0" y="0"/>
                <wp:positionH relativeFrom="page">
                  <wp:posOffset>396240</wp:posOffset>
                </wp:positionH>
                <wp:positionV relativeFrom="page">
                  <wp:posOffset>9617964</wp:posOffset>
                </wp:positionV>
                <wp:extent cx="6958965" cy="111760"/>
                <wp:effectExtent l="0" t="0" r="0" b="0"/>
                <wp:wrapNone/>
                <wp:docPr id="71" name="Group 71"/>
                <wp:cNvGraphicFramePr/>
                <a:graphic xmlns:a="http://schemas.openxmlformats.org/drawingml/2006/main">
                  <a:graphicData uri="http://schemas.microsoft.com/office/word/2010/wordprocessingGroup">
                    <wpg:wgp xmlns:wpg="http://schemas.microsoft.com/office/word/2010/wordprocessingGroup">
                      <wpg:cNvGrpSpPr/>
                      <wpg:grpSpPr>
                        <a:xfrm>
                          <a:off x="0" y="0"/>
                          <a:ext cx="6958965" cy="111760"/>
                          <a:chOff x="0" y="0"/>
                          <a:chExt cx="6958965" cy="111760"/>
                        </a:xfrm>
                      </wpg:grpSpPr>
                      <pic:pic xmlns:pic="http://schemas.openxmlformats.org/drawingml/2006/picture">
                        <pic:nvPicPr>
                          <pic:cNvPr id="72" name="Image 72"/>
                          <pic:cNvPicPr/>
                        </pic:nvPicPr>
                        <pic:blipFill>
                          <a:blip xmlns:r="http://schemas.openxmlformats.org/officeDocument/2006/relationships" r:embed="rId33" cstate="print"/>
                          <a:stretch>
                            <a:fillRect/>
                          </a:stretch>
                        </pic:blipFill>
                        <pic:spPr>
                          <a:xfrm>
                            <a:off x="0" y="0"/>
                            <a:ext cx="4539995" cy="111252"/>
                          </a:xfrm>
                          <a:prstGeom prst="rect">
                            <a:avLst/>
                          </a:prstGeom>
                        </pic:spPr>
                      </pic:pic>
                      <pic:pic xmlns:pic="http://schemas.openxmlformats.org/drawingml/2006/picture">
                        <pic:nvPicPr>
                          <pic:cNvPr id="73" name="Image 73"/>
                          <pic:cNvPicPr/>
                        </pic:nvPicPr>
                        <pic:blipFill>
                          <a:blip xmlns:r="http://schemas.openxmlformats.org/officeDocument/2006/relationships" r:embed="rId34" cstate="print"/>
                          <a:stretch>
                            <a:fillRect/>
                          </a:stretch>
                        </pic:blipFill>
                        <pic:spPr>
                          <a:xfrm>
                            <a:off x="4579619" y="3048"/>
                            <a:ext cx="1472184" cy="108204"/>
                          </a:xfrm>
                          <a:prstGeom prst="rect">
                            <a:avLst/>
                          </a:prstGeom>
                        </pic:spPr>
                      </pic:pic>
                      <pic:pic xmlns:pic="http://schemas.openxmlformats.org/drawingml/2006/picture">
                        <pic:nvPicPr>
                          <pic:cNvPr id="74" name="Image 74"/>
                          <pic:cNvPicPr/>
                        </pic:nvPicPr>
                        <pic:blipFill>
                          <a:blip xmlns:r="http://schemas.openxmlformats.org/officeDocument/2006/relationships" r:embed="rId35" cstate="print"/>
                          <a:stretch>
                            <a:fillRect/>
                          </a:stretch>
                        </pic:blipFill>
                        <pic:spPr>
                          <a:xfrm>
                            <a:off x="6094476" y="1523"/>
                            <a:ext cx="832103" cy="109728"/>
                          </a:xfrm>
                          <a:prstGeom prst="rect">
                            <a:avLst/>
                          </a:prstGeom>
                        </pic:spPr>
                      </pic:pic>
                      <wps:wsp xmlns:wps="http://schemas.microsoft.com/office/word/2010/wordprocessingShape">
                        <wps:cNvPr id="75" name="Graphic 75"/>
                        <wps:cNvSpPr/>
                        <wps:spPr>
                          <a:xfrm>
                            <a:off x="6944868" y="74676"/>
                            <a:ext cx="13970" cy="13970"/>
                          </a:xfrm>
                          <a:custGeom>
                            <a:avLst/>
                            <a:gdLst/>
                            <a:rect l="l" t="t" r="r" b="b"/>
                            <a:pathLst>
                              <a:path fill="norm" h="13970" w="13970" stroke="1">
                                <a:moveTo>
                                  <a:pt x="12192" y="13716"/>
                                </a:moveTo>
                                <a:lnTo>
                                  <a:pt x="3048" y="13716"/>
                                </a:lnTo>
                                <a:lnTo>
                                  <a:pt x="1524" y="12192"/>
                                </a:lnTo>
                                <a:lnTo>
                                  <a:pt x="1524" y="10668"/>
                                </a:lnTo>
                                <a:lnTo>
                                  <a:pt x="0" y="9144"/>
                                </a:lnTo>
                                <a:lnTo>
                                  <a:pt x="0" y="4572"/>
                                </a:lnTo>
                                <a:lnTo>
                                  <a:pt x="1524" y="1524"/>
                                </a:lnTo>
                                <a:lnTo>
                                  <a:pt x="3048" y="0"/>
                                </a:lnTo>
                                <a:lnTo>
                                  <a:pt x="12192" y="0"/>
                                </a:lnTo>
                                <a:lnTo>
                                  <a:pt x="12192" y="1524"/>
                                </a:lnTo>
                                <a:lnTo>
                                  <a:pt x="13716" y="1524"/>
                                </a:lnTo>
                                <a:lnTo>
                                  <a:pt x="13716" y="10668"/>
                                </a:lnTo>
                                <a:lnTo>
                                  <a:pt x="12192" y="12192"/>
                                </a:lnTo>
                                <a:lnTo>
                                  <a:pt x="12192" y="13716"/>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71" style="width:547.95pt;height:8.8pt;margin-top:757.32pt;margin-left:31.2pt;mso-position-horizontal-relative:page;mso-position-vertical-relative:page;position:absolute;z-index:251679744" coordorigin="624,15146" coordsize="10959,176">
                <v:shape id="_x0000_s1072" type="#_x0000_t75" style="width:7150;height:176;left:624;position:absolute;top:15146" stroked="f">
                  <v:imagedata r:id="rId33" o:title=""/>
                </v:shape>
                <v:shape id="_x0000_s1073" type="#_x0000_t75" style="width:2319;height:171;left:7836;position:absolute;top:15151" stroked="f">
                  <v:imagedata r:id="rId34" o:title=""/>
                </v:shape>
                <v:shape id="_x0000_s1074" type="#_x0000_t75" style="width:1311;height:173;left:10221;position:absolute;top:15148" stroked="f">
                  <v:imagedata r:id="rId35" o:title=""/>
                </v:shape>
                <v:shape id="_x0000_s1075" style="width:22;height:22;left:11560;position:absolute;top:15264" coordorigin="11561,15264" coordsize="22,22" path="m11580,15286l11566,15286,11563,15283,11563,15281,11561,15278,11561,15271,11563,15266,11566,15264,11580,15264,11580,15266,11582,15266,11582,15281,11580,15283,11580,15286xe" filled="t" fillcolor="black" stroked="f">
                  <v:fill type="solid"/>
                  <v:path arrowok="t"/>
                </v:shape>
              </v:group>
            </w:pict>
          </mc:Fallback>
        </mc:AlternateContent>
      </w:r>
    </w:p>
    <w:p>
      <w:pPr>
        <w:pStyle w:val="BodyText"/>
        <w:spacing w:before="64"/>
        <w:rPr>
          <w:b/>
          <w:sz w:val="20"/>
        </w:rPr>
      </w:pPr>
    </w:p>
    <w:p>
      <w:pPr>
        <w:spacing w:line="20" w:lineRule="exact"/>
        <w:ind w:left="12" w:right="0" w:firstLine="0"/>
        <w:rPr>
          <w:sz w:val="2"/>
        </w:rPr>
      </w:pPr>
      <w:r>
        <w:rPr>
          <w:sz w:val="2"/>
        </w:rPr>
        <mc:AlternateContent>
          <mc:Choice Requires="wpg">
            <w:drawing>
              <wp:inline distT="0" distB="0" distL="0" distR="0">
                <wp:extent cx="1827530" cy="9525"/>
                <wp:effectExtent l="0" t="0" r="0" b="0"/>
                <wp:docPr id="76" name="Group 76"/>
                <wp:cNvGraphicFramePr/>
                <a:graphic xmlns:a="http://schemas.openxmlformats.org/drawingml/2006/main">
                  <a:graphicData uri="http://schemas.microsoft.com/office/word/2010/wordprocessingGroup">
                    <wpg:wgp xmlns:wpg="http://schemas.microsoft.com/office/word/2010/wordprocessingGroup">
                      <wpg:cNvGrpSpPr/>
                      <wpg:grpSpPr>
                        <a:xfrm>
                          <a:off x="0" y="0"/>
                          <a:ext cx="1827530" cy="9525"/>
                          <a:chOff x="0" y="0"/>
                          <a:chExt cx="1827530" cy="9525"/>
                        </a:xfrm>
                      </wpg:grpSpPr>
                      <wps:wsp xmlns:wps="http://schemas.microsoft.com/office/word/2010/wordprocessingShape">
                        <wps:cNvPr id="77" name="Graphic 77"/>
                        <wps:cNvSpPr/>
                        <wps:spPr>
                          <a:xfrm>
                            <a:off x="0" y="0"/>
                            <a:ext cx="1827530" cy="9525"/>
                          </a:xfrm>
                          <a:custGeom>
                            <a:avLst/>
                            <a:gdLst/>
                            <a:rect l="l" t="t" r="r" b="b"/>
                            <a:pathLst>
                              <a:path fill="norm" h="9525" w="1827530" stroke="1">
                                <a:moveTo>
                                  <a:pt x="1827275" y="9144"/>
                                </a:moveTo>
                                <a:lnTo>
                                  <a:pt x="0" y="9144"/>
                                </a:lnTo>
                                <a:lnTo>
                                  <a:pt x="0" y="0"/>
                                </a:lnTo>
                                <a:lnTo>
                                  <a:pt x="1827275" y="0"/>
                                </a:lnTo>
                                <a:lnTo>
                                  <a:pt x="1827275" y="9144"/>
                                </a:lnTo>
                                <a:close/>
                              </a:path>
                            </a:pathLst>
                          </a:custGeom>
                          <a:solidFill>
                            <a:srgbClr val="000000"/>
                          </a:solidFill>
                        </wps:spPr>
                        <wps:bodyPr wrap="square" lIns="0" tIns="0" rIns="0" bIns="0" rtlCol="0">
                          <a:prstTxWarp prst="textNoShape">
                            <a:avLst/>
                          </a:prstTxWarp>
                        </wps:bodyPr>
                      </wps:wsp>
                    </wpg:wgp>
                  </a:graphicData>
                </a:graphic>
              </wp:inline>
            </w:drawing>
          </mc:Choice>
          <mc:Fallback>
            <w:pict>
              <v:group id="_x0000_i1076" style="width:143.9pt;height:0.75pt;mso-position-horizontal-relative:char;mso-position-vertical-relative:line" coordorigin="0,0" coordsize="2878,15">
                <v:rect id="_x0000_s1077" style="width:2878;height:15;position:absolute" filled="t" fillcolor="black" stroked="f">
                  <v:fill type="solid"/>
                </v:rect>
              </v:group>
            </w:pict>
          </mc:Fallback>
        </mc:AlternateContent>
      </w:r>
    </w:p>
    <w:p>
      <w:pPr>
        <w:spacing w:after="0" w:line="20" w:lineRule="exact"/>
        <w:rPr>
          <w:sz w:val="2"/>
        </w:rPr>
        <w:sectPr>
          <w:type w:val="continuous"/>
          <w:pgSz w:w="11910" w:h="16840"/>
          <w:pgMar w:top="0" w:right="708" w:bottom="280" w:left="0" w:header="10" w:footer="804"/>
          <w:cols w:space="708"/>
        </w:sectPr>
      </w:pPr>
    </w:p>
    <w:p>
      <w:pPr>
        <w:spacing w:line="180" w:lineRule="exact"/>
        <w:ind w:left="628" w:right="0" w:firstLine="0"/>
        <w:rPr>
          <w:position w:val="-3"/>
          <w:sz w:val="18"/>
        </w:rPr>
      </w:pPr>
      <w:r>
        <w:rPr>
          <w:position w:val="-3"/>
          <w:sz w:val="18"/>
        </w:rPr>
        <mc:AlternateContent>
          <mc:Choice Requires="wpg">
            <w:drawing>
              <wp:inline distT="0" distB="0" distL="0" distR="0">
                <wp:extent cx="1961514" cy="114300"/>
                <wp:effectExtent l="0" t="0" r="0" b="9525"/>
                <wp:docPr id="79" name="Group 79"/>
                <wp:cNvGraphicFramePr/>
                <a:graphic xmlns:a="http://schemas.openxmlformats.org/drawingml/2006/main">
                  <a:graphicData uri="http://schemas.microsoft.com/office/word/2010/wordprocessingGroup">
                    <wpg:wgp xmlns:wpg="http://schemas.microsoft.com/office/word/2010/wordprocessingGroup">
                      <wpg:cNvGrpSpPr/>
                      <wpg:grpSpPr>
                        <a:xfrm>
                          <a:off x="0" y="0"/>
                          <a:ext cx="1961514" cy="114300"/>
                          <a:chOff x="0" y="0"/>
                          <a:chExt cx="1961514" cy="114300"/>
                        </a:xfrm>
                      </wpg:grpSpPr>
                      <pic:pic xmlns:pic="http://schemas.openxmlformats.org/drawingml/2006/picture">
                        <pic:nvPicPr>
                          <pic:cNvPr id="80" name="Image 80"/>
                          <pic:cNvPicPr/>
                        </pic:nvPicPr>
                        <pic:blipFill>
                          <a:blip xmlns:r="http://schemas.openxmlformats.org/officeDocument/2006/relationships" r:embed="rId36" cstate="print"/>
                          <a:stretch>
                            <a:fillRect/>
                          </a:stretch>
                        </pic:blipFill>
                        <pic:spPr>
                          <a:xfrm>
                            <a:off x="0" y="0"/>
                            <a:ext cx="1935479" cy="114300"/>
                          </a:xfrm>
                          <a:prstGeom prst="rect">
                            <a:avLst/>
                          </a:prstGeom>
                        </pic:spPr>
                      </pic:pic>
                      <wps:wsp xmlns:wps="http://schemas.microsoft.com/office/word/2010/wordprocessingShape">
                        <wps:cNvPr id="81" name="Graphic 81"/>
                        <wps:cNvSpPr/>
                        <wps:spPr>
                          <a:xfrm>
                            <a:off x="1947672" y="77723"/>
                            <a:ext cx="13970" cy="13970"/>
                          </a:xfrm>
                          <a:custGeom>
                            <a:avLst/>
                            <a:gdLst/>
                            <a:rect l="l" t="t" r="r" b="b"/>
                            <a:pathLst>
                              <a:path fill="norm" h="13970" w="13970" stroke="1">
                                <a:moveTo>
                                  <a:pt x="12192" y="13716"/>
                                </a:moveTo>
                                <a:lnTo>
                                  <a:pt x="3048" y="13716"/>
                                </a:lnTo>
                                <a:lnTo>
                                  <a:pt x="1524" y="12192"/>
                                </a:lnTo>
                                <a:lnTo>
                                  <a:pt x="1524" y="10668"/>
                                </a:lnTo>
                                <a:lnTo>
                                  <a:pt x="0" y="9144"/>
                                </a:lnTo>
                                <a:lnTo>
                                  <a:pt x="0" y="4572"/>
                                </a:lnTo>
                                <a:lnTo>
                                  <a:pt x="1524" y="1524"/>
                                </a:lnTo>
                                <a:lnTo>
                                  <a:pt x="3048" y="0"/>
                                </a:lnTo>
                                <a:lnTo>
                                  <a:pt x="12192" y="0"/>
                                </a:lnTo>
                                <a:lnTo>
                                  <a:pt x="12192" y="1524"/>
                                </a:lnTo>
                                <a:lnTo>
                                  <a:pt x="13716" y="1524"/>
                                </a:lnTo>
                                <a:lnTo>
                                  <a:pt x="13716" y="10668"/>
                                </a:lnTo>
                                <a:lnTo>
                                  <a:pt x="12192" y="12192"/>
                                </a:lnTo>
                                <a:lnTo>
                                  <a:pt x="12192" y="13716"/>
                                </a:lnTo>
                                <a:close/>
                              </a:path>
                            </a:pathLst>
                          </a:custGeom>
                          <a:solidFill>
                            <a:srgbClr val="000000"/>
                          </a:solidFill>
                        </wps:spPr>
                        <wps:bodyPr wrap="square" lIns="0" tIns="0" rIns="0" bIns="0" rtlCol="0">
                          <a:prstTxWarp prst="textNoShape">
                            <a:avLst/>
                          </a:prstTxWarp>
                        </wps:bodyPr>
                      </wps:wsp>
                    </wpg:wgp>
                  </a:graphicData>
                </a:graphic>
              </wp:inline>
            </w:drawing>
          </mc:Choice>
          <mc:Fallback>
            <w:pict>
              <v:group id="_x0000_i1078" style="width:154.45pt;height:9pt;mso-position-horizontal-relative:char;mso-position-vertical-relative:line" coordorigin="0,0" coordsize="3089,180">
                <v:shape id="_x0000_s1079" type="#_x0000_t75" style="width:3048;height:180;position:absolute" stroked="f">
                  <v:imagedata r:id="rId36" o:title=""/>
                </v:shape>
                <v:shape id="_x0000_s1080" style="width:22;height:22;left:3067;position:absolute;top:122" coordorigin="3067,122" coordsize="22,22" path="m3086,144l3072,144,3070,142,3070,139,3067,137,3067,130,3070,125,3072,122,3086,122,3086,125,3089,125,3089,139,3086,142,3086,144xe" filled="t" fillcolor="black" stroked="f">
                  <v:fill type="solid"/>
                  <v:path arrowok="t"/>
                </v:shape>
              </v:group>
            </w:pict>
          </mc:Fallback>
        </mc:AlternateContent>
      </w: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spacing w:before="106"/>
        <w:rPr>
          <w:b/>
          <w:sz w:val="16"/>
        </w:rPr>
      </w:pPr>
    </w:p>
    <w:p>
      <w:pPr>
        <w:spacing w:before="0"/>
        <w:ind w:left="14" w:right="0" w:firstLine="0"/>
        <w:jc w:val="left"/>
        <w:rPr>
          <w:rFonts w:ascii="Arial"/>
          <w:sz w:val="16"/>
        </w:rPr>
      </w:pPr>
      <w:r>
        <w:rPr>
          <w:rFonts w:ascii="Arial"/>
          <w:spacing w:val="-2"/>
          <w:sz w:val="15"/>
        </w:rPr>
        <w:t>M-77723031-3</w:t>
      </w:r>
    </w:p>
    <w:sectPr>
      <w:headerReference w:type="default" r:id="rId37"/>
      <w:footerReference w:type="default" r:id="rId38"/>
      <w:pgSz w:w="11910" w:h="16840"/>
      <w:pgMar w:top="1460" w:right="708" w:bottom="880" w:left="0" w:header="0" w:footer="68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charset w:val="01"/>
    <w:family w:val="roman"/>
    <w:pitch w:val="variable"/>
  </w:font>
  <w:font w:name="Arial">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0"/>
      </w:rPr>
    </w:pPr>
    <w:r>
      <w:rPr>
        <w:sz w:val="20"/>
      </w:rPr>
      <mc:AlternateContent>
        <mc:Choice Requires="wps">
          <w:drawing>
            <wp:anchor distT="0" distB="0" distL="0" distR="0" simplePos="0" relativeHeight="251658240" behindDoc="1" locked="0" layoutInCell="1" allowOverlap="1">
              <wp:simplePos x="0" y="0"/>
              <wp:positionH relativeFrom="page">
                <wp:posOffset>-3576</wp:posOffset>
              </wp:positionH>
              <wp:positionV relativeFrom="page">
                <wp:posOffset>9989887</wp:posOffset>
              </wp:positionV>
              <wp:extent cx="3051175" cy="307340"/>
              <wp:effectExtent l="0" t="0" r="0" b="0"/>
              <wp:wrapNone/>
              <wp:docPr id="29" name="Textbox 29"/>
              <wp:cNvGraphicFramePr/>
              <a:graphic xmlns:a="http://schemas.openxmlformats.org/drawingml/2006/main">
                <a:graphicData uri="http://schemas.microsoft.com/office/word/2010/wordprocessingShape">
                  <wps:wsp xmlns:wps="http://schemas.microsoft.com/office/word/2010/wordprocessingShape">
                    <wps:cNvSpPr txBox="1"/>
                    <wps:spPr>
                      <a:xfrm>
                        <a:off x="0" y="0"/>
                        <a:ext cx="3051175" cy="307340"/>
                      </a:xfrm>
                      <a:prstGeom prst="rect">
                        <a:avLst/>
                      </a:prstGeom>
                    </wps:spPr>
                    <wps:txbx>
                      <w:txbxContent>
                        <w:p>
                          <w:pPr>
                            <w:spacing w:before="18" w:line="235" w:lineRule="exact"/>
                            <w:ind w:left="20" w:right="0" w:firstLine="0"/>
                            <w:jc w:val="left"/>
                            <w:rPr>
                              <w:sz w:val="20"/>
                            </w:rPr>
                          </w:pPr>
                          <w:r>
                            <w:rPr>
                              <w:spacing w:val="4"/>
                              <w:w w:val="99"/>
                              <w:sz w:val="18"/>
                            </w:rPr>
                            <w:t>MN-A77_7D2E30C3H1-E3RT</w:t>
                          </w:r>
                          <w:r>
                            <w:rPr>
                              <w:spacing w:val="3"/>
                              <w:w w:val="99"/>
                              <w:sz w:val="18"/>
                            </w:rPr>
                            <w:t>.</w:t>
                          </w:r>
                          <w:r>
                            <w:rPr>
                              <w:spacing w:val="3"/>
                              <w:w w:val="99"/>
                              <w:sz w:val="18"/>
                            </w:rPr>
                            <w:t>95619170.2</w:t>
                          </w:r>
                        </w:p>
                        <w:p>
                          <w:pPr>
                            <w:pStyle w:val="BodyText"/>
                            <w:spacing w:line="199" w:lineRule="exact"/>
                            <w:ind w:left="1616"/>
                          </w:pPr>
                          <w:r>
                            <w:rPr>
                              <w:color w:val="1A365D"/>
                              <w:spacing w:val="-4"/>
                              <w:w w:val="110"/>
                              <w:sz w:val="17"/>
                            </w:rPr>
                            <w:t xml:space="preserve">Fondo </w:t>
                          </w:r>
                          <w:r>
                            <w:rPr>
                              <w:color w:val="1A365D"/>
                              <w:spacing w:val="-2"/>
                              <w:w w:val="110"/>
                              <w:sz w:val="17"/>
                            </w:rPr>
                            <w:t xml:space="preserve">obbligazionario </w:t>
                          </w:r>
                          <w:r>
                            <w:rPr>
                              <w:color w:val="1A365D"/>
                              <w:spacing w:val="-2"/>
                              <w:w w:val="110"/>
                              <w:sz w:val="17"/>
                            </w:rPr>
                            <w:t xml:space="preserve">ad alto </w:t>
                          </w:r>
                          <w:r>
                            <w:rPr>
                              <w:color w:val="1A365D"/>
                              <w:spacing w:val="-2"/>
                              <w:w w:val="110"/>
                              <w:sz w:val="17"/>
                            </w:rPr>
                            <w:t xml:space="preserve">rendimento </w:t>
                          </w:r>
                          <w:r>
                            <w:rPr>
                              <w:color w:val="1A365D"/>
                              <w:spacing w:val="-2"/>
                              <w:w w:val="110"/>
                              <w:sz w:val="17"/>
                            </w:rPr>
                            <w:t>Wellington Euro</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2052" type="#_x0000_t202" style="width:240.25pt;height:24.2pt;margin-top:786.61pt;margin-left:-0.28pt;mso-position-horizontal-relative:page;mso-position-vertical-relative:page;position:absolute;z-index:-251657216" filled="f" stroked="f">
              <v:textbox inset="0,0,0,0">
                <w:txbxContent>
                  <w:p>
                    <w:pPr>
                      <w:spacing w:before="18" w:line="235" w:lineRule="exact"/>
                      <w:ind w:left="20" w:right="0" w:firstLine="0"/>
                      <w:jc w:val="left"/>
                      <w:rPr>
                        <w:sz w:val="20"/>
                      </w:rPr>
                    </w:pPr>
                    <w:r>
                      <w:rPr>
                        <w:spacing w:val="4"/>
                        <w:w w:val="99"/>
                        <w:sz w:val="20"/>
                      </w:rPr>
                      <w:t>MN-A77_7D2E30C3H1-E3RT</w:t>
                    </w:r>
                    <w:r>
                      <w:rPr>
                        <w:spacing w:val="3"/>
                        <w:w w:val="99"/>
                        <w:sz w:val="20"/>
                      </w:rPr>
                      <w:t>.</w:t>
                    </w:r>
                    <w:r>
                      <w:rPr>
                        <w:spacing w:val="3"/>
                        <w:w w:val="99"/>
                        <w:sz w:val="20"/>
                      </w:rPr>
                      <w:t>95619170.2</w:t>
                    </w:r>
                  </w:p>
                  <w:p>
                    <w:pPr>
                      <w:pStyle w:val="BodyText"/>
                      <w:spacing w:line="199" w:lineRule="exact"/>
                      <w:ind w:left="1616"/>
                    </w:pPr>
                    <w:r>
                      <w:rPr>
                        <w:color w:val="1A365D"/>
                        <w:spacing w:val="-4"/>
                        <w:w w:val="110"/>
                      </w:rPr>
                      <w:t xml:space="preserve">Fondo </w:t>
                    </w:r>
                    <w:r>
                      <w:rPr>
                        <w:color w:val="1A365D"/>
                        <w:spacing w:val="-2"/>
                        <w:w w:val="110"/>
                      </w:rPr>
                      <w:t xml:space="preserve">obbligazionario </w:t>
                    </w:r>
                    <w:r>
                      <w:rPr>
                        <w:color w:val="1A365D"/>
                        <w:spacing w:val="-2"/>
                        <w:w w:val="110"/>
                      </w:rPr>
                      <w:t xml:space="preserve">ad alto </w:t>
                    </w:r>
                    <w:r>
                      <w:rPr>
                        <w:color w:val="1A365D"/>
                        <w:spacing w:val="-2"/>
                        <w:w w:val="110"/>
                      </w:rPr>
                      <w:t xml:space="preserve">rendimento </w:t>
                    </w:r>
                    <w:r>
                      <w:rPr>
                        <w:color w:val="1A365D"/>
                        <w:spacing w:val="-2"/>
                        <w:w w:val="110"/>
                      </w:rPr>
                      <w:t>in euro Wellington</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0"/>
      </w:rPr>
    </w:pPr>
    <w:r>
      <w:rPr>
        <w:sz w:val="20"/>
      </w:rPr>
      <mc:AlternateContent>
        <mc:Choice Requires="wps">
          <w:drawing>
            <wp:anchor distT="0" distB="0" distL="0" distR="0" simplePos="0" relativeHeight="251660288" behindDoc="1" locked="0" layoutInCell="1" allowOverlap="1">
              <wp:simplePos x="0" y="0"/>
              <wp:positionH relativeFrom="page">
                <wp:posOffset>-3559</wp:posOffset>
              </wp:positionH>
              <wp:positionV relativeFrom="page">
                <wp:posOffset>10115760</wp:posOffset>
              </wp:positionV>
              <wp:extent cx="3051175" cy="181610"/>
              <wp:effectExtent l="0" t="0" r="0" b="0"/>
              <wp:wrapNone/>
              <wp:docPr id="78" name="Textbox 78"/>
              <wp:cNvGraphicFramePr/>
              <a:graphic xmlns:a="http://schemas.openxmlformats.org/drawingml/2006/main">
                <a:graphicData uri="http://schemas.microsoft.com/office/word/2010/wordprocessingShape">
                  <wps:wsp xmlns:wps="http://schemas.microsoft.com/office/word/2010/wordprocessingShape">
                    <wps:cNvSpPr txBox="1"/>
                    <wps:spPr>
                      <a:xfrm>
                        <a:off x="0" y="0"/>
                        <a:ext cx="3051175" cy="181610"/>
                      </a:xfrm>
                      <a:prstGeom prst="rect">
                        <a:avLst/>
                      </a:prstGeom>
                    </wps:spPr>
                    <wps:txbx>
                      <w:txbxContent>
                        <w:p>
                          <w:pPr>
                            <w:spacing w:before="7"/>
                            <w:ind w:left="20" w:right="0" w:firstLine="0"/>
                            <w:jc w:val="left"/>
                            <w:rPr>
                              <w:sz w:val="18"/>
                            </w:rPr>
                          </w:pPr>
                          <w:r>
                            <w:rPr>
                              <w:spacing w:val="8"/>
                              <w:w w:val="101"/>
                              <w:position w:val="2"/>
                              <w:sz w:val="18"/>
                            </w:rPr>
                            <w:t>NA_DECHERT</w:t>
                          </w:r>
                          <w:r>
                            <w:rPr>
                              <w:spacing w:val="7"/>
                              <w:w w:val="101"/>
                              <w:position w:val="2"/>
                              <w:sz w:val="18"/>
                            </w:rPr>
                            <w:t>.</w:t>
                          </w:r>
                          <w:r>
                            <w:rPr>
                              <w:color w:val="1A365D"/>
                              <w:spacing w:val="-57"/>
                              <w:w w:val="113"/>
                              <w:sz w:val="17"/>
                            </w:rPr>
                            <w:t>956W19el1l7in0g</w:t>
                          </w:r>
                          <w:r>
                            <w:rPr>
                              <w:spacing w:val="7"/>
                              <w:w w:val="101"/>
                              <w:position w:val="2"/>
                              <w:sz w:val="18"/>
                            </w:rPr>
                            <w:t>.</w:t>
                          </w:r>
                          <w:r>
                            <w:rPr>
                              <w:color w:val="1A365D"/>
                              <w:spacing w:val="7"/>
                              <w:w w:val="118"/>
                              <w:sz w:val="17"/>
                            </w:rPr>
                            <w:t xml:space="preserve">2ton </w:t>
                          </w:r>
                          <w:r>
                            <w:rPr>
                              <w:color w:val="1A365D"/>
                              <w:spacing w:val="-16"/>
                              <w:w w:val="105"/>
                              <w:sz w:val="17"/>
                            </w:rPr>
                            <w:t xml:space="preserve">Fondo </w:t>
                          </w:r>
                          <w:r>
                            <w:rPr>
                              <w:color w:val="1A365D"/>
                              <w:spacing w:val="-16"/>
                              <w:w w:val="105"/>
                              <w:sz w:val="17"/>
                            </w:rPr>
                            <w:t xml:space="preserve">obbligazionario </w:t>
                          </w:r>
                          <w:r>
                            <w:rPr>
                              <w:color w:val="1A365D"/>
                              <w:spacing w:val="-16"/>
                              <w:w w:val="105"/>
                              <w:sz w:val="17"/>
                            </w:rPr>
                            <w:t xml:space="preserve">ad alto </w:t>
                          </w:r>
                          <w:r>
                            <w:rPr>
                              <w:color w:val="1A365D"/>
                              <w:spacing w:val="-16"/>
                              <w:w w:val="105"/>
                              <w:sz w:val="17"/>
                            </w:rPr>
                            <w:t xml:space="preserve">rendimento </w:t>
                          </w:r>
                          <w:r>
                            <w:rPr>
                              <w:color w:val="1A365D"/>
                              <w:spacing w:val="-16"/>
                              <w:w w:val="105"/>
                              <w:sz w:val="17"/>
                            </w:rPr>
                            <w:t>in euro</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2053" type="#_x0000_t202" style="width:240.25pt;height:14.3pt;margin-top:796.52pt;margin-left:-0.28pt;mso-position-horizontal-relative:page;mso-position-vertical-relative:page;position:absolute;z-index:-251655168" filled="f" stroked="f">
              <v:textbox inset="0,0,0,0">
                <w:txbxContent>
                  <w:p>
                    <w:pPr>
                      <w:spacing w:before="7"/>
                      <w:ind w:left="20" w:right="0" w:firstLine="0"/>
                      <w:jc w:val="left"/>
                      <w:rPr>
                        <w:sz w:val="18"/>
                      </w:rPr>
                    </w:pPr>
                    <w:r>
                      <w:rPr>
                        <w:spacing w:val="8"/>
                        <w:w w:val="101"/>
                        <w:position w:val="2"/>
                        <w:sz w:val="20"/>
                      </w:rPr>
                      <w:t>NA_DECHERT</w:t>
                    </w:r>
                    <w:r>
                      <w:rPr>
                        <w:spacing w:val="7"/>
                        <w:w w:val="101"/>
                        <w:position w:val="2"/>
                        <w:sz w:val="20"/>
                      </w:rPr>
                      <w:t>.</w:t>
                    </w:r>
                    <w:r>
                      <w:rPr>
                        <w:color w:val="1A365D"/>
                        <w:spacing w:val="-57"/>
                        <w:w w:val="113"/>
                        <w:sz w:val="18"/>
                      </w:rPr>
                      <w:t>956W19el1l7in0g</w:t>
                    </w:r>
                    <w:r>
                      <w:rPr>
                        <w:spacing w:val="7"/>
                        <w:w w:val="101"/>
                        <w:position w:val="2"/>
                        <w:sz w:val="20"/>
                      </w:rPr>
                      <w:t>.</w:t>
                    </w:r>
                    <w:r>
                      <w:rPr>
                        <w:color w:val="1A365D"/>
                        <w:spacing w:val="7"/>
                        <w:w w:val="118"/>
                        <w:sz w:val="18"/>
                      </w:rPr>
                      <w:t xml:space="preserve">2ton </w:t>
                    </w:r>
                    <w:r>
                      <w:rPr>
                        <w:color w:val="1A365D"/>
                        <w:spacing w:val="-16"/>
                        <w:w w:val="105"/>
                        <w:sz w:val="18"/>
                      </w:rPr>
                      <w:t xml:space="preserve">Fondo </w:t>
                    </w:r>
                    <w:r>
                      <w:rPr>
                        <w:color w:val="1A365D"/>
                        <w:spacing w:val="-16"/>
                        <w:w w:val="105"/>
                        <w:sz w:val="18"/>
                      </w:rPr>
                      <w:t xml:space="preserve">obbligazionario </w:t>
                    </w:r>
                    <w:r>
                      <w:rPr>
                        <w:color w:val="1A365D"/>
                        <w:spacing w:val="-16"/>
                        <w:w w:val="105"/>
                        <w:sz w:val="18"/>
                      </w:rPr>
                      <w:t xml:space="preserve">ad alto </w:t>
                    </w:r>
                    <w:r>
                      <w:rPr>
                        <w:color w:val="1A365D"/>
                        <w:spacing w:val="-16"/>
                        <w:w w:val="105"/>
                        <w:sz w:val="18"/>
                      </w:rPr>
                      <w:t xml:space="preserve">rendimento </w:t>
                    </w:r>
                    <w:r>
                      <w:rPr>
                        <w:color w:val="1A365D"/>
                        <w:spacing w:val="-16"/>
                        <w:w w:val="105"/>
                        <w:sz w:val="18"/>
                      </w:rPr>
                      <w:t>in euro</w:t>
                    </w:r>
                  </w:p>
                </w:txbxContent>
              </v:textbox>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0"/>
      </w:rPr>
    </w:pPr>
    <w:r>
      <w:rPr>
        <w:sz w:val="20"/>
      </w:rPr>
      <mc:AlternateContent>
        <mc:Choice Requires="wpg">
          <w:drawing>
            <wp:anchor distT="0" distB="0" distL="0" distR="0" simplePos="0" relativeHeight="251658240" behindDoc="1" locked="0" layoutInCell="1" allowOverlap="1">
              <wp:simplePos x="0" y="0"/>
              <wp:positionH relativeFrom="page">
                <wp:posOffset>9144</wp:posOffset>
              </wp:positionH>
              <wp:positionV relativeFrom="page">
                <wp:posOffset>6095</wp:posOffset>
              </wp:positionV>
              <wp:extent cx="7543800" cy="573405"/>
              <wp:effectExtent l="0" t="0" r="0" b="0"/>
              <wp:wrapNone/>
              <wp:docPr id="26" name="Group 26"/>
              <wp:cNvGraphicFramePr/>
              <a:graphic xmlns:a="http://schemas.openxmlformats.org/drawingml/2006/main">
                <a:graphicData uri="http://schemas.microsoft.com/office/word/2010/wordprocessingGroup">
                  <wpg:wgp xmlns:wpg="http://schemas.microsoft.com/office/word/2010/wordprocessingGroup">
                    <wpg:cNvGrpSpPr/>
                    <wpg:grpSpPr>
                      <a:xfrm>
                        <a:off x="0" y="0"/>
                        <a:ext cx="7543800" cy="573405"/>
                        <a:chOff x="0" y="0"/>
                        <a:chExt cx="7543800" cy="573405"/>
                      </a:xfrm>
                    </wpg:grpSpPr>
                    <wps:wsp xmlns:wps="http://schemas.microsoft.com/office/word/2010/wordprocessingShape">
                      <wps:cNvPr id="27" name="Graphic 27"/>
                      <wps:cNvSpPr/>
                      <wps:spPr>
                        <a:xfrm>
                          <a:off x="0" y="0"/>
                          <a:ext cx="7543800" cy="573405"/>
                        </a:xfrm>
                        <a:custGeom>
                          <a:avLst/>
                          <a:gdLst/>
                          <a:rect l="l" t="t" r="r" b="b"/>
                          <a:pathLst>
                            <a:path fill="norm" h="573405" w="7543800" stroke="1">
                              <a:moveTo>
                                <a:pt x="7543800" y="573024"/>
                              </a:moveTo>
                              <a:lnTo>
                                <a:pt x="0" y="573024"/>
                              </a:lnTo>
                              <a:lnTo>
                                <a:pt x="0" y="0"/>
                              </a:lnTo>
                              <a:lnTo>
                                <a:pt x="7543800" y="0"/>
                              </a:lnTo>
                              <a:lnTo>
                                <a:pt x="7543800" y="573024"/>
                              </a:lnTo>
                              <a:close/>
                            </a:path>
                          </a:pathLst>
                        </a:custGeom>
                        <a:solidFill>
                          <a:srgbClr val="1A365D"/>
                        </a:solidFill>
                      </wps:spPr>
                      <wps:bodyPr wrap="square" lIns="0" tIns="0" rIns="0" bIns="0" rtlCol="0">
                        <a:prstTxWarp prst="textNoShape">
                          <a:avLst/>
                        </a:prstTxWarp>
                      </wps:bodyPr>
                    </wps:wsp>
                    <pic:pic xmlns:pic="http://schemas.openxmlformats.org/drawingml/2006/picture">
                      <pic:nvPicPr>
                        <pic:cNvPr id="28" name="Image 28"/>
                        <pic:cNvPicPr/>
                      </pic:nvPicPr>
                      <pic:blipFill>
                        <a:blip xmlns:r="http://schemas.openxmlformats.org/officeDocument/2006/relationships" r:embed="rId1" cstate="print"/>
                        <a:stretch>
                          <a:fillRect/>
                        </a:stretch>
                      </pic:blipFill>
                      <pic:spPr>
                        <a:xfrm>
                          <a:off x="534923" y="120395"/>
                          <a:ext cx="1271015" cy="329183"/>
                        </a:xfrm>
                        <a:prstGeom prst="rect">
                          <a:avLst/>
                        </a:prstGeom>
                      </pic:spPr>
                    </pic:pic>
                  </wpg:wgp>
                </a:graphicData>
              </a:graphic>
            </wp:anchor>
          </w:drawing>
        </mc:Choice>
        <mc:Fallback>
          <w:pict>
            <v:group id="_x0000_s2049" style="width:594pt;height:45.15pt;margin-top:0.48pt;margin-left:0.72pt;mso-position-horizontal-relative:page;mso-position-vertical-relative:page;position:absolute;z-index:-251657216" coordorigin="14,10" coordsize="11880,903">
              <v:rect id="_x0000_s2050" style="width:11880;height:903;left:14;position:absolute;top:9" filled="t" fillcolor="#1a365d" stroked="f">
                <v:fill type="solid"/>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width:2002;height:519;left:856;position:absolute;top:199" stroked="f">
                <v:imagedata r:id="rId1" o:title=""/>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C8A9544"/>
    <w:multiLevelType w:val="hybridMultilevel"/>
    <w:tmpl w:val="00000000"/>
    <w:lvl w:ilvl="0">
      <w:start w:val="1"/>
      <w:numFmt w:val="decimal"/>
      <w:lvlText w:val="%1."/>
      <w:lvlJc w:val="left"/>
      <w:pPr>
        <w:ind w:left="2330" w:hanging="181"/>
        <w:jc w:val="left"/>
      </w:pPr>
      <w:rPr>
        <w:rFonts w:ascii="Times New Roman" w:eastAsia="Times New Roman" w:hAnsi="Times New Roman" w:cs="Times New Roman" w:hint="default"/>
        <w:b w:val="0"/>
        <w:bCs w:val="0"/>
        <w:i w:val="0"/>
        <w:iCs w:val="0"/>
        <w:spacing w:val="0"/>
        <w:w w:val="92"/>
        <w:sz w:val="18"/>
        <w:szCs w:val="18"/>
        <w:lang w:val="en-US" w:eastAsia="en-US" w:bidi="ar-SA"/>
      </w:rPr>
    </w:lvl>
    <w:lvl w:ilvl="1">
      <w:start w:val="0"/>
      <w:numFmt w:val="bullet"/>
      <w:lvlText w:val="•"/>
      <w:lvlJc w:val="left"/>
      <w:pPr>
        <w:ind w:left="3225" w:hanging="181"/>
      </w:pPr>
      <w:rPr>
        <w:rFonts w:hint="default"/>
        <w:lang w:val="en-US" w:eastAsia="en-US" w:bidi="ar-SA"/>
      </w:rPr>
    </w:lvl>
    <w:lvl w:ilvl="2">
      <w:start w:val="0"/>
      <w:numFmt w:val="bullet"/>
      <w:lvlText w:val="•"/>
      <w:lvlJc w:val="left"/>
      <w:pPr>
        <w:ind w:left="4111" w:hanging="181"/>
      </w:pPr>
      <w:rPr>
        <w:rFonts w:hint="default"/>
        <w:lang w:val="en-US" w:eastAsia="en-US" w:bidi="ar-SA"/>
      </w:rPr>
    </w:lvl>
    <w:lvl w:ilvl="3">
      <w:start w:val="0"/>
      <w:numFmt w:val="bullet"/>
      <w:lvlText w:val="•"/>
      <w:lvlJc w:val="left"/>
      <w:pPr>
        <w:ind w:left="4997" w:hanging="181"/>
      </w:pPr>
      <w:rPr>
        <w:rFonts w:hint="default"/>
        <w:lang w:val="en-US" w:eastAsia="en-US" w:bidi="ar-SA"/>
      </w:rPr>
    </w:lvl>
    <w:lvl w:ilvl="4">
      <w:start w:val="0"/>
      <w:numFmt w:val="bullet"/>
      <w:lvlText w:val="•"/>
      <w:lvlJc w:val="left"/>
      <w:pPr>
        <w:ind w:left="5883" w:hanging="181"/>
      </w:pPr>
      <w:rPr>
        <w:rFonts w:hint="default"/>
        <w:lang w:val="en-US" w:eastAsia="en-US" w:bidi="ar-SA"/>
      </w:rPr>
    </w:lvl>
    <w:lvl w:ilvl="5">
      <w:start w:val="0"/>
      <w:numFmt w:val="bullet"/>
      <w:lvlText w:val="•"/>
      <w:lvlJc w:val="left"/>
      <w:pPr>
        <w:ind w:left="6769" w:hanging="181"/>
      </w:pPr>
      <w:rPr>
        <w:rFonts w:hint="default"/>
        <w:lang w:val="en-US" w:eastAsia="en-US" w:bidi="ar-SA"/>
      </w:rPr>
    </w:lvl>
    <w:lvl w:ilvl="6">
      <w:start w:val="0"/>
      <w:numFmt w:val="bullet"/>
      <w:lvlText w:val="•"/>
      <w:lvlJc w:val="left"/>
      <w:pPr>
        <w:ind w:left="7655" w:hanging="181"/>
      </w:pPr>
      <w:rPr>
        <w:rFonts w:hint="default"/>
        <w:lang w:val="en-US" w:eastAsia="en-US" w:bidi="ar-SA"/>
      </w:rPr>
    </w:lvl>
    <w:lvl w:ilvl="7">
      <w:start w:val="0"/>
      <w:numFmt w:val="bullet"/>
      <w:lvlText w:val="•"/>
      <w:lvlJc w:val="left"/>
      <w:pPr>
        <w:ind w:left="8540" w:hanging="181"/>
      </w:pPr>
      <w:rPr>
        <w:rFonts w:hint="default"/>
        <w:lang w:val="en-US" w:eastAsia="en-US" w:bidi="ar-SA"/>
      </w:rPr>
    </w:lvl>
    <w:lvl w:ilvl="8">
      <w:start w:val="0"/>
      <w:numFmt w:val="bullet"/>
      <w:lvlText w:val="•"/>
      <w:lvlJc w:val="left"/>
      <w:pPr>
        <w:ind w:left="9426" w:hanging="181"/>
      </w:pPr>
      <w:rPr>
        <w:rFonts w:hint="default"/>
        <w:lang w:val="en-US" w:eastAsia="en-US" w:bidi="ar-SA"/>
      </w:rPr>
    </w:lvl>
  </w:abstractNum>
  <w:abstractNum w:abstractNumId="1">
    <w:nsid w:val="367A6B98"/>
    <w:multiLevelType w:val="hybridMultilevel"/>
    <w:tmpl w:val="00000000"/>
    <w:lvl w:ilvl="0">
      <w:start w:val="1"/>
      <w:numFmt w:val="decimal"/>
      <w:lvlText w:val="%1."/>
      <w:lvlJc w:val="left"/>
      <w:pPr>
        <w:ind w:left="2397" w:hanging="183"/>
        <w:jc w:val="left"/>
      </w:pPr>
      <w:rPr>
        <w:rFonts w:ascii="Times New Roman" w:eastAsia="Times New Roman" w:hAnsi="Times New Roman" w:cs="Times New Roman" w:hint="default"/>
        <w:b w:val="0"/>
        <w:bCs w:val="0"/>
        <w:i w:val="0"/>
        <w:iCs w:val="0"/>
        <w:spacing w:val="0"/>
        <w:w w:val="92"/>
        <w:sz w:val="18"/>
        <w:szCs w:val="18"/>
        <w:lang w:val="en-US" w:eastAsia="en-US" w:bidi="ar-SA"/>
      </w:rPr>
    </w:lvl>
    <w:lvl w:ilvl="1">
      <w:start w:val="0"/>
      <w:numFmt w:val="bullet"/>
      <w:lvlText w:val="•"/>
      <w:lvlJc w:val="left"/>
      <w:pPr>
        <w:ind w:left="3279" w:hanging="183"/>
      </w:pPr>
      <w:rPr>
        <w:rFonts w:hint="default"/>
        <w:lang w:val="en-US" w:eastAsia="en-US" w:bidi="ar-SA"/>
      </w:rPr>
    </w:lvl>
    <w:lvl w:ilvl="2">
      <w:start w:val="0"/>
      <w:numFmt w:val="bullet"/>
      <w:lvlText w:val="•"/>
      <w:lvlJc w:val="left"/>
      <w:pPr>
        <w:ind w:left="4159" w:hanging="183"/>
      </w:pPr>
      <w:rPr>
        <w:rFonts w:hint="default"/>
        <w:lang w:val="en-US" w:eastAsia="en-US" w:bidi="ar-SA"/>
      </w:rPr>
    </w:lvl>
    <w:lvl w:ilvl="3">
      <w:start w:val="0"/>
      <w:numFmt w:val="bullet"/>
      <w:lvlText w:val="•"/>
      <w:lvlJc w:val="left"/>
      <w:pPr>
        <w:ind w:left="5039" w:hanging="183"/>
      </w:pPr>
      <w:rPr>
        <w:rFonts w:hint="default"/>
        <w:lang w:val="en-US" w:eastAsia="en-US" w:bidi="ar-SA"/>
      </w:rPr>
    </w:lvl>
    <w:lvl w:ilvl="4">
      <w:start w:val="0"/>
      <w:numFmt w:val="bullet"/>
      <w:lvlText w:val="•"/>
      <w:lvlJc w:val="left"/>
      <w:pPr>
        <w:ind w:left="5919" w:hanging="183"/>
      </w:pPr>
      <w:rPr>
        <w:rFonts w:hint="default"/>
        <w:lang w:val="en-US" w:eastAsia="en-US" w:bidi="ar-SA"/>
      </w:rPr>
    </w:lvl>
    <w:lvl w:ilvl="5">
      <w:start w:val="0"/>
      <w:numFmt w:val="bullet"/>
      <w:lvlText w:val="•"/>
      <w:lvlJc w:val="left"/>
      <w:pPr>
        <w:ind w:left="6799" w:hanging="183"/>
      </w:pPr>
      <w:rPr>
        <w:rFonts w:hint="default"/>
        <w:lang w:val="en-US" w:eastAsia="en-US" w:bidi="ar-SA"/>
      </w:rPr>
    </w:lvl>
    <w:lvl w:ilvl="6">
      <w:start w:val="0"/>
      <w:numFmt w:val="bullet"/>
      <w:lvlText w:val="•"/>
      <w:lvlJc w:val="left"/>
      <w:pPr>
        <w:ind w:left="7679" w:hanging="183"/>
      </w:pPr>
      <w:rPr>
        <w:rFonts w:hint="default"/>
        <w:lang w:val="en-US" w:eastAsia="en-US" w:bidi="ar-SA"/>
      </w:rPr>
    </w:lvl>
    <w:lvl w:ilvl="7">
      <w:start w:val="0"/>
      <w:numFmt w:val="bullet"/>
      <w:lvlText w:val="•"/>
      <w:lvlJc w:val="left"/>
      <w:pPr>
        <w:ind w:left="8558" w:hanging="183"/>
      </w:pPr>
      <w:rPr>
        <w:rFonts w:hint="default"/>
        <w:lang w:val="en-US" w:eastAsia="en-US" w:bidi="ar-SA"/>
      </w:rPr>
    </w:lvl>
    <w:lvl w:ilvl="8">
      <w:start w:val="0"/>
      <w:numFmt w:val="bullet"/>
      <w:lvlText w:val="•"/>
      <w:lvlJc w:val="left"/>
      <w:pPr>
        <w:ind w:left="9438" w:hanging="183"/>
      </w:pPr>
      <w:rPr>
        <w:rFonts w:hint="default"/>
        <w:lang w:val="en-US" w:eastAsia="en-US" w:bidi="ar-SA"/>
      </w:rPr>
    </w:lvl>
  </w:abstractNum>
  <w:abstractNum w:abstractNumId="2">
    <w:nsid w:val="6167686E"/>
    <w:multiLevelType w:val="hybridMultilevel"/>
    <w:tmpl w:val="00000000"/>
    <w:lvl w:ilvl="0">
      <w:start w:val="0"/>
      <w:numFmt w:val="bullet"/>
      <w:lvlText w:val="-"/>
      <w:lvlJc w:val="left"/>
      <w:pPr>
        <w:ind w:left="38" w:hanging="92"/>
      </w:pPr>
      <w:rPr>
        <w:rFonts w:ascii="Times New Roman" w:eastAsia="Times New Roman" w:hAnsi="Times New Roman" w:cs="Times New Roman" w:hint="default"/>
        <w:b w:val="0"/>
        <w:bCs w:val="0"/>
        <w:i w:val="0"/>
        <w:iCs w:val="0"/>
        <w:spacing w:val="0"/>
        <w:w w:val="100"/>
        <w:sz w:val="16"/>
        <w:szCs w:val="16"/>
        <w:lang w:val="en-US" w:eastAsia="en-US" w:bidi="ar-SA"/>
      </w:rPr>
    </w:lvl>
    <w:lvl w:ilvl="1">
      <w:start w:val="0"/>
      <w:numFmt w:val="bullet"/>
      <w:lvlText w:val="•"/>
      <w:lvlJc w:val="left"/>
      <w:pPr>
        <w:ind w:left="235" w:hanging="92"/>
      </w:pPr>
      <w:rPr>
        <w:rFonts w:hint="default"/>
        <w:lang w:val="en-US" w:eastAsia="en-US" w:bidi="ar-SA"/>
      </w:rPr>
    </w:lvl>
    <w:lvl w:ilvl="2">
      <w:start w:val="0"/>
      <w:numFmt w:val="bullet"/>
      <w:lvlText w:val="•"/>
      <w:lvlJc w:val="left"/>
      <w:pPr>
        <w:ind w:left="431" w:hanging="92"/>
      </w:pPr>
      <w:rPr>
        <w:rFonts w:hint="default"/>
        <w:lang w:val="en-US" w:eastAsia="en-US" w:bidi="ar-SA"/>
      </w:rPr>
    </w:lvl>
    <w:lvl w:ilvl="3">
      <w:start w:val="0"/>
      <w:numFmt w:val="bullet"/>
      <w:lvlText w:val="•"/>
      <w:lvlJc w:val="left"/>
      <w:pPr>
        <w:ind w:left="627" w:hanging="92"/>
      </w:pPr>
      <w:rPr>
        <w:rFonts w:hint="default"/>
        <w:lang w:val="en-US" w:eastAsia="en-US" w:bidi="ar-SA"/>
      </w:rPr>
    </w:lvl>
    <w:lvl w:ilvl="4">
      <w:start w:val="0"/>
      <w:numFmt w:val="bullet"/>
      <w:lvlText w:val="•"/>
      <w:lvlJc w:val="left"/>
      <w:pPr>
        <w:ind w:left="823" w:hanging="92"/>
      </w:pPr>
      <w:rPr>
        <w:rFonts w:hint="default"/>
        <w:lang w:val="en-US" w:eastAsia="en-US" w:bidi="ar-SA"/>
      </w:rPr>
    </w:lvl>
    <w:lvl w:ilvl="5">
      <w:start w:val="0"/>
      <w:numFmt w:val="bullet"/>
      <w:lvlText w:val="•"/>
      <w:lvlJc w:val="left"/>
      <w:pPr>
        <w:ind w:left="1019" w:hanging="92"/>
      </w:pPr>
      <w:rPr>
        <w:rFonts w:hint="default"/>
        <w:lang w:val="en-US" w:eastAsia="en-US" w:bidi="ar-SA"/>
      </w:rPr>
    </w:lvl>
    <w:lvl w:ilvl="6">
      <w:start w:val="0"/>
      <w:numFmt w:val="bullet"/>
      <w:lvlText w:val="•"/>
      <w:lvlJc w:val="left"/>
      <w:pPr>
        <w:ind w:left="1215" w:hanging="92"/>
      </w:pPr>
      <w:rPr>
        <w:rFonts w:hint="default"/>
        <w:lang w:val="en-US" w:eastAsia="en-US" w:bidi="ar-SA"/>
      </w:rPr>
    </w:lvl>
    <w:lvl w:ilvl="7">
      <w:start w:val="0"/>
      <w:numFmt w:val="bullet"/>
      <w:lvlText w:val="•"/>
      <w:lvlJc w:val="left"/>
      <w:pPr>
        <w:ind w:left="1411" w:hanging="92"/>
      </w:pPr>
      <w:rPr>
        <w:rFonts w:hint="default"/>
        <w:lang w:val="en-US" w:eastAsia="en-US" w:bidi="ar-SA"/>
      </w:rPr>
    </w:lvl>
    <w:lvl w:ilvl="8">
      <w:start w:val="0"/>
      <w:numFmt w:val="bullet"/>
      <w:lvlText w:val="•"/>
      <w:lvlJc w:val="left"/>
      <w:pPr>
        <w:ind w:left="1607" w:hanging="92"/>
      </w:pPr>
      <w:rPr>
        <w:rFonts w:hint="default"/>
        <w:lang w:val="en-US"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en-US" w:eastAsia="en-US" w:bidi="ar-SA"/>
    </w:rPr>
  </w:style>
  <w:style w:type="paragraph" w:styleId="Heading1">
    <w:name w:val="heading 1"/>
    <w:basedOn w:val="Normal"/>
    <w:uiPriority w:val="1"/>
    <w:qFormat/>
    <w:pPr>
      <w:ind w:left="2486" w:right="302" w:firstLine="4"/>
      <w:jc w:val="center"/>
      <w:outlineLvl w:val="0"/>
    </w:pPr>
    <w:rPr>
      <w:rFonts w:ascii="Times New Roman" w:eastAsia="Times New Roman" w:hAnsi="Times New Roman" w:cs="Times New Roman"/>
      <w:b/>
      <w:bCs/>
      <w:sz w:val="28"/>
      <w:szCs w:val="28"/>
      <w:lang w:val="en-US" w:eastAsia="en-US" w:bidi="ar-SA"/>
    </w:rPr>
  </w:style>
  <w:style w:type="paragraph" w:styleId="Heading2">
    <w:name w:val="heading 2"/>
    <w:basedOn w:val="Normal"/>
    <w:uiPriority w:val="1"/>
    <w:qFormat/>
    <w:pPr>
      <w:ind w:left="48"/>
      <w:outlineLvl w:val="1"/>
    </w:pPr>
    <w:rPr>
      <w:rFonts w:ascii="Times New Roman" w:eastAsia="Times New Roman" w:hAnsi="Times New Roman" w:cs="Times New Roman"/>
      <w:b/>
      <w:bCs/>
      <w:sz w:val="20"/>
      <w:szCs w:val="20"/>
      <w:lang w:val="en-US" w:eastAsia="en-US" w:bidi="ar-SA"/>
    </w:rPr>
  </w:style>
  <w:style w:type="paragraph" w:styleId="Heading3">
    <w:name w:val="heading 3"/>
    <w:basedOn w:val="Normal"/>
    <w:uiPriority w:val="1"/>
    <w:qFormat/>
    <w:pPr>
      <w:spacing w:before="132"/>
      <w:ind w:left="383"/>
      <w:outlineLvl w:val="2"/>
    </w:pPr>
    <w:rPr>
      <w:rFonts w:ascii="Times New Roman" w:eastAsia="Times New Roman" w:hAnsi="Times New Roman" w:cs="Times New Roman"/>
      <w:b/>
      <w:bCs/>
      <w:i/>
      <w:iCs/>
      <w:sz w:val="20"/>
      <w:szCs w:val="20"/>
      <w:lang w:val="en-US" w:eastAsia="en-US" w:bidi="ar-SA"/>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rFonts w:ascii="Times New Roman" w:eastAsia="Times New Roman" w:hAnsi="Times New Roman" w:cs="Times New Roman"/>
      <w:sz w:val="18"/>
      <w:szCs w:val="18"/>
      <w:lang w:val="en-US" w:eastAsia="en-US" w:bidi="ar-SA"/>
    </w:rPr>
  </w:style>
  <w:style w:type="paragraph" w:styleId="Title">
    <w:name w:val="Title"/>
    <w:basedOn w:val="Normal"/>
    <w:uiPriority w:val="1"/>
    <w:qFormat/>
    <w:pPr>
      <w:ind w:left="3590"/>
    </w:pPr>
    <w:rPr>
      <w:rFonts w:ascii="Times New Roman" w:eastAsia="Times New Roman" w:hAnsi="Times New Roman" w:cs="Times New Roman"/>
      <w:sz w:val="32"/>
      <w:szCs w:val="32"/>
      <w:lang w:val="en-US" w:eastAsia="en-US" w:bidi="ar-SA"/>
    </w:rPr>
  </w:style>
  <w:style w:type="paragraph" w:styleId="ListParagraph">
    <w:name w:val="List Paragraph"/>
    <w:basedOn w:val="Normal"/>
    <w:uiPriority w:val="1"/>
    <w:qFormat/>
    <w:pPr>
      <w:ind w:left="2579" w:hanging="182"/>
    </w:pPr>
    <w:rPr>
      <w:rFonts w:ascii="Times New Roman" w:eastAsia="Times New Roman" w:hAnsi="Times New Roman" w:cs="Times New Roman"/>
      <w:lang w:val="en-US" w:eastAsia="en-US" w:bidi="ar-SA"/>
    </w:rPr>
  </w:style>
  <w:style w:type="paragraph" w:customStyle="1" w:styleId="TableParagraph">
    <w:name w:val="Table Paragraph"/>
    <w:basedOn w:val="Normal"/>
    <w:uiPriority w:val="1"/>
    <w:qFormat/>
    <w:rPr>
      <w:rFonts w:ascii="Times New Roman" w:eastAsia="Times New Roman" w:hAnsi="Times New Roman" w:cs="Times New Rom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jpeg" /><Relationship Id="rId14" Type="http://schemas.openxmlformats.org/officeDocument/2006/relationships/hyperlink" Target="http://www.wellingtonfunds.com/sfdr" TargetMode="External" /><Relationship Id="rId15" Type="http://schemas.openxmlformats.org/officeDocument/2006/relationships/header" Target="header1.xml" /><Relationship Id="rId16" Type="http://schemas.openxmlformats.org/officeDocument/2006/relationships/footer" Target="footer1.xml" /><Relationship Id="rId17" Type="http://schemas.openxmlformats.org/officeDocument/2006/relationships/image" Target="media/image11.jpeg" /><Relationship Id="rId18" Type="http://schemas.openxmlformats.org/officeDocument/2006/relationships/image" Target="media/image12.jpeg" /><Relationship Id="rId19" Type="http://schemas.openxmlformats.org/officeDocument/2006/relationships/image" Target="media/image13.jpeg" /><Relationship Id="rId2" Type="http://schemas.openxmlformats.org/officeDocument/2006/relationships/webSettings" Target="webSettings.xml" /><Relationship Id="rId20" Type="http://schemas.openxmlformats.org/officeDocument/2006/relationships/image" Target="media/image14.png" /><Relationship Id="rId21" Type="http://schemas.openxmlformats.org/officeDocument/2006/relationships/image" Target="media/image15.png" /><Relationship Id="rId22" Type="http://schemas.openxmlformats.org/officeDocument/2006/relationships/image" Target="media/image16.png" /><Relationship Id="rId23" Type="http://schemas.openxmlformats.org/officeDocument/2006/relationships/image" Target="media/image17.jpeg" /><Relationship Id="rId24" Type="http://schemas.openxmlformats.org/officeDocument/2006/relationships/image" Target="media/image18.jpeg" /><Relationship Id="rId25" Type="http://schemas.openxmlformats.org/officeDocument/2006/relationships/image" Target="media/image19.png" /><Relationship Id="rId26" Type="http://schemas.openxmlformats.org/officeDocument/2006/relationships/image" Target="media/image20.png" /><Relationship Id="rId27" Type="http://schemas.openxmlformats.org/officeDocument/2006/relationships/image" Target="media/image21.png" /><Relationship Id="rId28" Type="http://schemas.openxmlformats.org/officeDocument/2006/relationships/image" Target="media/image22.png" /><Relationship Id="rId29" Type="http://schemas.openxmlformats.org/officeDocument/2006/relationships/image" Target="media/image23.png" /><Relationship Id="rId3" Type="http://schemas.openxmlformats.org/officeDocument/2006/relationships/fontTable" Target="fontTable.xml" /><Relationship Id="rId30" Type="http://schemas.openxmlformats.org/officeDocument/2006/relationships/image" Target="media/image24.png" /><Relationship Id="rId31" Type="http://schemas.openxmlformats.org/officeDocument/2006/relationships/image" Target="media/image25.png" /><Relationship Id="rId32" Type="http://schemas.openxmlformats.org/officeDocument/2006/relationships/image" Target="media/image26.png" /><Relationship Id="rId33" Type="http://schemas.openxmlformats.org/officeDocument/2006/relationships/image" Target="media/image27.png" /><Relationship Id="rId34" Type="http://schemas.openxmlformats.org/officeDocument/2006/relationships/image" Target="media/image28.png" /><Relationship Id="rId35" Type="http://schemas.openxmlformats.org/officeDocument/2006/relationships/image" Target="media/image29.png" /><Relationship Id="rId36" Type="http://schemas.openxmlformats.org/officeDocument/2006/relationships/image" Target="media/image30.png" /><Relationship Id="rId37" Type="http://schemas.openxmlformats.org/officeDocument/2006/relationships/header" Target="header2.xml" /><Relationship Id="rId38" Type="http://schemas.openxmlformats.org/officeDocument/2006/relationships/footer" Target="footer2.xml" /><Relationship Id="rId39" Type="http://schemas.openxmlformats.org/officeDocument/2006/relationships/theme" Target="theme/theme1.xml" /><Relationship Id="rId4" Type="http://schemas.openxmlformats.org/officeDocument/2006/relationships/image" Target="media/image1.jpeg" /><Relationship Id="rId40" Type="http://schemas.openxmlformats.org/officeDocument/2006/relationships/numbering" Target="numbering.xml" /><Relationship Id="rId41" Type="http://schemas.openxmlformats.org/officeDocument/2006/relationships/styles" Target="styles.xml" /><Relationship Id="rId5" Type="http://schemas.openxmlformats.org/officeDocument/2006/relationships/image" Target="media/image2.jpeg" /><Relationship Id="rId6" Type="http://schemas.openxmlformats.org/officeDocument/2006/relationships/image" Target="media/image3.png" /><Relationship Id="rId7" Type="http://schemas.openxmlformats.org/officeDocument/2006/relationships/image" Target="media/image4.jpeg" /><Relationship Id="rId8" Type="http://schemas.openxmlformats.org/officeDocument/2006/relationships/image" Target="media/image5.png" /><Relationship Id="rId9" Type="http://schemas.openxmlformats.org/officeDocument/2006/relationships/image" Target="media/image6.jpeg" /></Relationships>
</file>

<file path=word/_rels/header1.xml.rels><?xml version="1.0" encoding="utf-8" standalone="yes"?><Relationships xmlns="http://schemas.openxmlformats.org/package/2006/relationships"><Relationship Id="rId1"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download.pdf</dc:title>
  <dc:creator>Tofi Martina (UniCredit Life Insurance - IT)</dc:creator>
  <cp:keywords>, docId:823271513FE7DF852D2914060C6D0EF3</cp:keywords>
  <cp:revision>0</cp:revision>
  <dcterms:created xsi:type="dcterms:W3CDTF">2026-06-18T10:42:06Z</dcterms:created>
  <dcterms:modified xsi:type="dcterms:W3CDTF">2026-06-18T10:42:06Z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2026-05-12T00:00:00Z</vt:filetime>
  </property>
  <property fmtid="{D5CDD505-2E9C-101B-9397-08002B2CF9AE}" pid="3" name="LastSaved">
    <vt:filetime>2026-06-18T00:00:00Z</vt:filetime>
  </property>
  <property fmtid="{D5CDD505-2E9C-101B-9397-08002B2CF9AE}" pid="4" name="Producer">
    <vt:lpwstr>Microsoft: Print To PDF</vt:lpwstr>
  </property>
</Properties>
</file>